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E7BDB" w14:textId="77777777" w:rsidR="00AD30C4" w:rsidRPr="00FF6355" w:rsidRDefault="00170ECA" w:rsidP="00170ECA">
      <w:pPr>
        <w:tabs>
          <w:tab w:val="center" w:pos="4680"/>
          <w:tab w:val="right" w:pos="9360"/>
        </w:tabs>
      </w:pPr>
      <w:bookmarkStart w:id="0" w:name="_GoBack"/>
      <w:bookmarkEnd w:id="0"/>
      <w:r>
        <w:rPr>
          <w:b/>
          <w:sz w:val="38"/>
          <w:szCs w:val="38"/>
        </w:rPr>
        <w:tab/>
      </w:r>
      <w:r w:rsidR="00FA716E" w:rsidRPr="0096589F">
        <w:rPr>
          <w:b/>
          <w:sz w:val="38"/>
          <w:szCs w:val="38"/>
        </w:rPr>
        <w:t>NRC INSPECTION MANUAL</w:t>
      </w:r>
      <w:r w:rsidR="00FA716E" w:rsidRPr="00FF6355">
        <w:tab/>
      </w:r>
      <w:r w:rsidR="00380CE2" w:rsidRPr="00EA7097">
        <w:rPr>
          <w:sz w:val="20"/>
          <w:szCs w:val="20"/>
        </w:rPr>
        <w:t>IOEB</w:t>
      </w:r>
    </w:p>
    <w:tbl>
      <w:tblPr>
        <w:tblStyle w:val="TableGrid"/>
        <w:tblW w:w="9360" w:type="dxa"/>
        <w:tblInd w:w="10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AD30C4" w:rsidRPr="00AD30C4" w14:paraId="73A9DA58" w14:textId="77777777" w:rsidTr="004256A0">
        <w:trPr>
          <w:trHeight w:val="234"/>
        </w:trPr>
        <w:tc>
          <w:tcPr>
            <w:tcW w:w="9360" w:type="dxa"/>
            <w:tcBorders>
              <w:top w:val="single" w:sz="18" w:space="0" w:color="auto"/>
              <w:bottom w:val="single" w:sz="18" w:space="0" w:color="auto"/>
            </w:tcBorders>
            <w:vAlign w:val="center"/>
          </w:tcPr>
          <w:p w14:paraId="00F28A22" w14:textId="031BCE17" w:rsidR="00AD30C4" w:rsidRPr="00FF6355" w:rsidRDefault="00380CE2" w:rsidP="00F034F0">
            <w:pPr>
              <w:jc w:val="center"/>
            </w:pPr>
            <w:r>
              <w:t>O</w:t>
            </w:r>
            <w:r w:rsidR="00BE43A2">
              <w:t>PERATING EXPERIENCE SMART SAMPLE (OpESS)</w:t>
            </w:r>
            <w:r>
              <w:t xml:space="preserve"> 20</w:t>
            </w:r>
            <w:r w:rsidR="001107C1">
              <w:t>1</w:t>
            </w:r>
            <w:r w:rsidR="00F034F0">
              <w:t>9</w:t>
            </w:r>
            <w:r w:rsidR="00690CE4">
              <w:t>/</w:t>
            </w:r>
            <w:r w:rsidR="00495C4B">
              <w:t>01</w:t>
            </w:r>
          </w:p>
        </w:tc>
      </w:tr>
    </w:tbl>
    <w:p w14:paraId="562A5150" w14:textId="77777777" w:rsidR="00AD30C4" w:rsidRPr="00FF6355" w:rsidRDefault="00AD30C4" w:rsidP="00950727"/>
    <w:p w14:paraId="307E4C4B" w14:textId="77777777" w:rsidR="00AD30C4" w:rsidRPr="00FF6355" w:rsidRDefault="00AD30C4" w:rsidP="00950727"/>
    <w:p w14:paraId="7841B81A" w14:textId="5EB0E67A" w:rsidR="00137F11" w:rsidRPr="00FF6355" w:rsidRDefault="00F034F0" w:rsidP="00CE7E87">
      <w:pPr>
        <w:jc w:val="center"/>
      </w:pPr>
      <w:r w:rsidRPr="00F034F0">
        <w:t>COMMERCIAL GRADE DEDICATION, PROCUREMENT, AND DESIGN CONTROL</w:t>
      </w:r>
    </w:p>
    <w:p w14:paraId="0C40BC01" w14:textId="77777777" w:rsidR="004256A0" w:rsidRPr="00FF6355" w:rsidRDefault="004256A0" w:rsidP="00950727"/>
    <w:p w14:paraId="2FF03D32" w14:textId="77777777" w:rsidR="00831503" w:rsidRDefault="00831503" w:rsidP="00950727"/>
    <w:p w14:paraId="2A791DE6" w14:textId="4159DFEC" w:rsidR="00BE43A2" w:rsidRDefault="00CD789F" w:rsidP="00950727">
      <w:r w:rsidRPr="00FF6355">
        <w:t>CORNERSTONE:</w:t>
      </w:r>
      <w:r w:rsidRPr="00FF6355">
        <w:tab/>
      </w:r>
      <w:r w:rsidR="00BE43A2">
        <w:tab/>
      </w:r>
      <w:r w:rsidR="00547740">
        <w:t>BARRIER INTEGRITY</w:t>
      </w:r>
    </w:p>
    <w:p w14:paraId="037CC87D" w14:textId="77777777" w:rsidR="00372C4D" w:rsidRDefault="00BE43A2" w:rsidP="00950727">
      <w:r>
        <w:tab/>
      </w:r>
      <w:r>
        <w:tab/>
      </w:r>
      <w:r>
        <w:tab/>
      </w:r>
      <w:r>
        <w:tab/>
      </w:r>
      <w:r w:rsidR="00CD789F" w:rsidRPr="00FF6355">
        <w:t>MITIGATING SYSTEMS</w:t>
      </w:r>
    </w:p>
    <w:p w14:paraId="65242545" w14:textId="77777777" w:rsidR="00610218" w:rsidRPr="00FF6355" w:rsidRDefault="00610218" w:rsidP="00950727">
      <w:r>
        <w:tab/>
      </w:r>
      <w:r>
        <w:tab/>
      </w:r>
      <w:r>
        <w:tab/>
      </w:r>
      <w:r>
        <w:tab/>
        <w:t>INITIATING EVENTS</w:t>
      </w:r>
    </w:p>
    <w:p w14:paraId="1C3040CE" w14:textId="3AC66D1E" w:rsidR="00D41EF5" w:rsidRPr="00FF6355" w:rsidRDefault="00D41EF5" w:rsidP="00950727"/>
    <w:p w14:paraId="722A8E81" w14:textId="77777777" w:rsidR="00B76758" w:rsidRDefault="00B76758" w:rsidP="00950727"/>
    <w:p w14:paraId="1B3C871D" w14:textId="54C05931" w:rsidR="00BE43A2" w:rsidRDefault="00BE43A2" w:rsidP="00950727">
      <w:r w:rsidRPr="00FF6355">
        <w:t>APPLICABILITY</w:t>
      </w:r>
      <w:r w:rsidR="00732993">
        <w:t>:</w:t>
      </w:r>
    </w:p>
    <w:p w14:paraId="7C182CF6" w14:textId="77777777" w:rsidR="00BE43A2" w:rsidRDefault="00BE43A2" w:rsidP="00950727"/>
    <w:p w14:paraId="3910493A" w14:textId="53498356" w:rsidR="00A8388F" w:rsidRPr="00CE7E87" w:rsidRDefault="00F034F0" w:rsidP="00681EC8">
      <w:pPr>
        <w:pStyle w:val="ListParagraph"/>
        <w:numPr>
          <w:ilvl w:val="0"/>
          <w:numId w:val="2"/>
        </w:numPr>
        <w:tabs>
          <w:tab w:val="left" w:pos="810"/>
        </w:tabs>
        <w:rPr>
          <w:rFonts w:cs="Arial"/>
          <w:szCs w:val="22"/>
        </w:rPr>
      </w:pPr>
      <w:r w:rsidRPr="00F034F0">
        <w:rPr>
          <w:rFonts w:cs="Arial"/>
          <w:szCs w:val="22"/>
        </w:rPr>
        <w:t>This OpESS applies to all licensed operating commercial nuclear reactors.</w:t>
      </w:r>
      <w:r w:rsidR="009F3252" w:rsidRPr="00CE7E87">
        <w:rPr>
          <w:rFonts w:cs="Arial"/>
          <w:szCs w:val="22"/>
        </w:rPr>
        <w:t xml:space="preserve">  </w:t>
      </w:r>
    </w:p>
    <w:p w14:paraId="27A86C22" w14:textId="64BF01A2" w:rsidR="00A8388F" w:rsidRDefault="00F034F0" w:rsidP="00681EC8">
      <w:pPr>
        <w:pStyle w:val="ListParagraph"/>
        <w:numPr>
          <w:ilvl w:val="0"/>
          <w:numId w:val="2"/>
        </w:numPr>
        <w:tabs>
          <w:tab w:val="left" w:pos="810"/>
        </w:tabs>
      </w:pPr>
      <w:r w:rsidRPr="00F034F0">
        <w:rPr>
          <w:rFonts w:cs="Arial"/>
          <w:szCs w:val="22"/>
        </w:rPr>
        <w:t>Supports informing sample selection for Inspection Procedure (IP) 71111.12, 71111.18, 71111.21M, and 71111.21N</w:t>
      </w:r>
      <w:r w:rsidR="00CD3F46" w:rsidRPr="00CE7E87">
        <w:rPr>
          <w:rFonts w:cs="Arial"/>
          <w:lang w:val="en"/>
        </w:rPr>
        <w:t>.</w:t>
      </w:r>
      <w:r w:rsidR="00A8388F" w:rsidRPr="00A8388F">
        <w:t xml:space="preserve"> </w:t>
      </w:r>
    </w:p>
    <w:p w14:paraId="4681D9DE" w14:textId="169F7BFB" w:rsidR="00C7364A" w:rsidRPr="00A8388F" w:rsidRDefault="00F034F0" w:rsidP="00681EC8">
      <w:pPr>
        <w:pStyle w:val="ListParagraph"/>
        <w:numPr>
          <w:ilvl w:val="0"/>
          <w:numId w:val="2"/>
        </w:numPr>
        <w:tabs>
          <w:tab w:val="left" w:pos="810"/>
        </w:tabs>
        <w:rPr>
          <w:rFonts w:cs="Arial"/>
          <w:szCs w:val="22"/>
        </w:rPr>
      </w:pPr>
      <w:r w:rsidRPr="00F034F0">
        <w:t>Performance of this OpESS is voluntary.</w:t>
      </w:r>
      <w:r w:rsidR="00A8388F">
        <w:t xml:space="preserve"> </w:t>
      </w:r>
    </w:p>
    <w:p w14:paraId="0AB8F103" w14:textId="77777777" w:rsidR="00A8388F" w:rsidRDefault="00A8388F" w:rsidP="00E57A19"/>
    <w:p w14:paraId="41DCC63C" w14:textId="77777777" w:rsidR="00B76758" w:rsidRDefault="00B76758" w:rsidP="00E57A19"/>
    <w:p w14:paraId="1E7A351A" w14:textId="65A9E5AB" w:rsidR="00FA6080" w:rsidRPr="00FF6355" w:rsidRDefault="003444B4" w:rsidP="00E57A19">
      <w:r>
        <w:t xml:space="preserve">OpESS </w:t>
      </w:r>
      <w:r w:rsidR="00495C4B">
        <w:t>2019/01</w:t>
      </w:r>
      <w:r w:rsidR="00CD789F" w:rsidRPr="00FF6355">
        <w:t>-0</w:t>
      </w:r>
      <w:r w:rsidR="00732993">
        <w:t>1</w:t>
      </w:r>
      <w:r w:rsidR="00CD789F" w:rsidRPr="00FF6355">
        <w:tab/>
      </w:r>
      <w:r w:rsidR="00FA6080" w:rsidRPr="00FF6355">
        <w:t>OBJECTIVE</w:t>
      </w:r>
      <w:r w:rsidR="00365451" w:rsidRPr="00FF6355">
        <w:t>S</w:t>
      </w:r>
      <w:r w:rsidR="00BE43A2">
        <w:t xml:space="preserve"> </w:t>
      </w:r>
    </w:p>
    <w:p w14:paraId="5153E47C" w14:textId="77777777" w:rsidR="00E64727" w:rsidRDefault="00E64727" w:rsidP="00E57A19"/>
    <w:p w14:paraId="1A71522D" w14:textId="28C5792D" w:rsidR="004D0DC1" w:rsidRDefault="006958B7" w:rsidP="00E57A19">
      <w:pPr>
        <w:tabs>
          <w:tab w:val="left" w:pos="810"/>
        </w:tabs>
      </w:pPr>
      <w:r>
        <w:t>0</w:t>
      </w:r>
      <w:r w:rsidR="00A8388F">
        <w:t>1.</w:t>
      </w:r>
      <w:r w:rsidR="00C7364A">
        <w:t>01</w:t>
      </w:r>
      <w:r w:rsidR="00C7364A">
        <w:tab/>
      </w:r>
      <w:r w:rsidR="007830DE" w:rsidRPr="00F034F0">
        <w:t>Pr</w:t>
      </w:r>
      <w:r w:rsidR="007830DE">
        <w:t>ovi</w:t>
      </w:r>
      <w:r w:rsidR="007830DE" w:rsidRPr="00F034F0">
        <w:t>de</w:t>
      </w:r>
      <w:r w:rsidR="00F034F0" w:rsidRPr="00F034F0">
        <w:t xml:space="preserve"> support to baseline inspection activities </w:t>
      </w:r>
      <w:proofErr w:type="gramStart"/>
      <w:r w:rsidR="00F034F0" w:rsidRPr="00F034F0">
        <w:t>in the area of</w:t>
      </w:r>
      <w:proofErr w:type="gramEnd"/>
      <w:r w:rsidR="00F034F0" w:rsidRPr="00F034F0">
        <w:t xml:space="preserve"> procurement and commercial grade dedication activities.</w:t>
      </w:r>
      <w:r w:rsidR="004D0DC1">
        <w:t xml:space="preserve"> </w:t>
      </w:r>
    </w:p>
    <w:p w14:paraId="086A35C2" w14:textId="77777777" w:rsidR="004D0DC1" w:rsidRDefault="004D0DC1" w:rsidP="00E57A19">
      <w:pPr>
        <w:tabs>
          <w:tab w:val="left" w:pos="810"/>
        </w:tabs>
      </w:pPr>
    </w:p>
    <w:p w14:paraId="501CE612" w14:textId="5AA762F0" w:rsidR="00C7364A" w:rsidRDefault="004D0DC1" w:rsidP="00F034F0">
      <w:pPr>
        <w:tabs>
          <w:tab w:val="left" w:pos="810"/>
        </w:tabs>
        <w:rPr>
          <w:rFonts w:ascii="Arial-ItalicMT" w:hAnsi="Arial-ItalicMT" w:cs="Arial-ItalicMT"/>
          <w:iCs/>
          <w:szCs w:val="22"/>
        </w:rPr>
      </w:pPr>
      <w:r>
        <w:t>0</w:t>
      </w:r>
      <w:r w:rsidR="00A8388F">
        <w:t>1</w:t>
      </w:r>
      <w:r>
        <w:t>.02</w:t>
      </w:r>
      <w:r>
        <w:tab/>
      </w:r>
      <w:r w:rsidR="00F034F0" w:rsidRPr="00F034F0">
        <w:t xml:space="preserve">Provide examples where deficiencies were introduced during the design modification or procurement processes that resulted in equipment failures </w:t>
      </w:r>
      <w:proofErr w:type="gramStart"/>
      <w:r w:rsidR="00F034F0" w:rsidRPr="00F034F0">
        <w:t>in order to</w:t>
      </w:r>
      <w:proofErr w:type="gramEnd"/>
      <w:r w:rsidR="00F034F0" w:rsidRPr="00F034F0">
        <w:t xml:space="preserve"> inform the inspection of design, modification, and maintenance activities.</w:t>
      </w:r>
    </w:p>
    <w:p w14:paraId="20608CB3" w14:textId="77777777" w:rsidR="005971C8" w:rsidRPr="00C367AA" w:rsidRDefault="005971C8" w:rsidP="00C367AA">
      <w:pPr>
        <w:tabs>
          <w:tab w:val="left" w:pos="810"/>
        </w:tabs>
      </w:pPr>
    </w:p>
    <w:p w14:paraId="7402AD45" w14:textId="77777777" w:rsidR="00A8388F" w:rsidRDefault="00A8388F" w:rsidP="00950727"/>
    <w:p w14:paraId="1A07F3F6" w14:textId="61C8F9CB" w:rsidR="00741A2F" w:rsidRPr="00FF6355" w:rsidRDefault="00BE43A2" w:rsidP="00950727">
      <w:r>
        <w:t xml:space="preserve">OpESS </w:t>
      </w:r>
      <w:r w:rsidR="00495C4B">
        <w:t>2019/01</w:t>
      </w:r>
      <w:r w:rsidR="003D4F96" w:rsidRPr="00FF6355">
        <w:t>-0</w:t>
      </w:r>
      <w:r w:rsidR="00732993">
        <w:t>2</w:t>
      </w:r>
      <w:r w:rsidR="003D4F96" w:rsidRPr="00FF6355">
        <w:tab/>
      </w:r>
      <w:r w:rsidR="00FA6080" w:rsidRPr="00FF6355">
        <w:t>BACKGROUND</w:t>
      </w:r>
    </w:p>
    <w:p w14:paraId="3E26D718" w14:textId="77777777" w:rsidR="00741A2F" w:rsidRPr="00FF6355" w:rsidRDefault="00741A2F" w:rsidP="00950727"/>
    <w:p w14:paraId="73168C6E" w14:textId="2A7480C9" w:rsidR="00235B10" w:rsidRPr="00235B10" w:rsidRDefault="00F32E12" w:rsidP="00235B10">
      <w:pPr>
        <w:pStyle w:val="ListParagraph"/>
        <w:tabs>
          <w:tab w:val="left" w:pos="810"/>
        </w:tabs>
        <w:ind w:left="0"/>
        <w:rPr>
          <w:u w:val="single"/>
        </w:rPr>
      </w:pPr>
      <w:r>
        <w:t>0</w:t>
      </w:r>
      <w:r w:rsidR="00A8388F">
        <w:t>2</w:t>
      </w:r>
      <w:r w:rsidR="00235B10">
        <w:t>.01</w:t>
      </w:r>
      <w:r w:rsidR="00235B10">
        <w:tab/>
      </w:r>
      <w:r w:rsidR="00ED5EE0" w:rsidRPr="00ED5EE0">
        <w:rPr>
          <w:u w:val="single"/>
        </w:rPr>
        <w:t>Commercial Grade Dedication Inspection Pilot</w:t>
      </w:r>
    </w:p>
    <w:p w14:paraId="43165A90" w14:textId="77777777" w:rsidR="00235B10" w:rsidRDefault="00235B10" w:rsidP="00BC6E0F">
      <w:pPr>
        <w:pStyle w:val="ListParagraph"/>
        <w:tabs>
          <w:tab w:val="left" w:pos="810"/>
        </w:tabs>
        <w:ind w:left="0"/>
      </w:pPr>
    </w:p>
    <w:p w14:paraId="561A2239" w14:textId="36E8D5E4" w:rsidR="00E763CF" w:rsidRDefault="00ED5EE0" w:rsidP="00BC6E0F">
      <w:pPr>
        <w:pStyle w:val="ListParagraph"/>
        <w:tabs>
          <w:tab w:val="left" w:pos="810"/>
        </w:tabs>
        <w:ind w:left="0"/>
      </w:pPr>
      <w:r w:rsidRPr="00ED5EE0">
        <w:t xml:space="preserve">In 2014, in response to several violations issued to vendors for issues involving commercial grade dedication (CGD), the Office of New Reactors (NRO) conducted pilot inspections of selected licensees </w:t>
      </w:r>
      <w:proofErr w:type="gramStart"/>
      <w:r w:rsidRPr="00ED5EE0">
        <w:t>in an effort to</w:t>
      </w:r>
      <w:proofErr w:type="gramEnd"/>
      <w:r w:rsidRPr="00ED5EE0">
        <w:t xml:space="preserve"> determine if they were adequately dedicating commercial grade items for safety-related use.  </w:t>
      </w:r>
      <w:r w:rsidR="00251344">
        <w:t>Inspection results for the three sites involved in the pilot are available at Agency-wide Document Access and Management System (</w:t>
      </w:r>
      <w:r w:rsidR="00D35761">
        <w:t>ADAMS) A</w:t>
      </w:r>
      <w:r w:rsidR="006E5B13">
        <w:t xml:space="preserve">ccession Numbers </w:t>
      </w:r>
      <w:hyperlink r:id="rId8" w:history="1">
        <w:r w:rsidR="006E5B13">
          <w:rPr>
            <w:color w:val="0000FF"/>
            <w:u w:val="single"/>
          </w:rPr>
          <w:t>ML15127A549</w:t>
        </w:r>
      </w:hyperlink>
      <w:r w:rsidR="00251344">
        <w:t xml:space="preserve">, </w:t>
      </w:r>
      <w:hyperlink r:id="rId9" w:history="1">
        <w:r w:rsidR="006E5B13">
          <w:rPr>
            <w:color w:val="0000FF"/>
            <w:u w:val="single"/>
          </w:rPr>
          <w:t>ML15037A046</w:t>
        </w:r>
      </w:hyperlink>
      <w:r w:rsidR="006E5B13">
        <w:t xml:space="preserve">, and </w:t>
      </w:r>
      <w:hyperlink r:id="rId10" w:history="1">
        <w:r w:rsidR="00374AF4">
          <w:rPr>
            <w:color w:val="0000FF"/>
            <w:u w:val="single"/>
          </w:rPr>
          <w:t>ML14132A203</w:t>
        </w:r>
      </w:hyperlink>
      <w:r w:rsidR="00251344">
        <w:t xml:space="preserve">.  </w:t>
      </w:r>
      <w:r w:rsidRPr="00ED5EE0">
        <w:t>The staff noted the following issues with the CGD programs of the facilities that were inspected:</w:t>
      </w:r>
    </w:p>
    <w:p w14:paraId="22956024" w14:textId="77777777" w:rsidR="00CB4DCA" w:rsidRDefault="00CB4DCA" w:rsidP="00BC6E0F">
      <w:pPr>
        <w:pStyle w:val="ListParagraph"/>
        <w:tabs>
          <w:tab w:val="left" w:pos="810"/>
        </w:tabs>
        <w:ind w:left="0"/>
      </w:pPr>
    </w:p>
    <w:p w14:paraId="4D3EB844" w14:textId="15D23796" w:rsidR="00ED5EE0" w:rsidRDefault="00ED5EE0" w:rsidP="008B4A9E">
      <w:pPr>
        <w:pStyle w:val="ListParagraph"/>
        <w:numPr>
          <w:ilvl w:val="0"/>
          <w:numId w:val="3"/>
        </w:numPr>
        <w:tabs>
          <w:tab w:val="left" w:pos="810"/>
        </w:tabs>
        <w:ind w:left="630" w:hanging="270"/>
      </w:pPr>
      <w:r w:rsidRPr="00ED5EE0">
        <w:t>Failure to establish adequate controls for performing technical evaluations of items or services to be dedicated, including the review of materials, parts, equipment, and processes for suitability of application as established</w:t>
      </w:r>
      <w:r w:rsidR="00D35761">
        <w:t xml:space="preserve"> in Criterion III of Appendix B;</w:t>
      </w:r>
    </w:p>
    <w:p w14:paraId="126AF205" w14:textId="0CFC2785" w:rsidR="00ED5EE0" w:rsidRDefault="00ED5EE0" w:rsidP="008B4A9E">
      <w:pPr>
        <w:pStyle w:val="ListParagraph"/>
        <w:numPr>
          <w:ilvl w:val="0"/>
          <w:numId w:val="3"/>
        </w:numPr>
        <w:tabs>
          <w:tab w:val="left" w:pos="810"/>
        </w:tabs>
        <w:ind w:left="630" w:hanging="270"/>
      </w:pPr>
      <w:r w:rsidRPr="00ED5EE0">
        <w:t xml:space="preserve">Failure to verify that the dedicating entity has properly developed and implemented a plan for </w:t>
      </w:r>
      <w:r w:rsidR="00251344">
        <w:t>CGD</w:t>
      </w:r>
      <w:r w:rsidR="00D35761">
        <w:t>;</w:t>
      </w:r>
    </w:p>
    <w:p w14:paraId="7AEC09BB" w14:textId="0E17E38E" w:rsidR="00ED5EE0" w:rsidRDefault="00ED5EE0" w:rsidP="008B4A9E">
      <w:pPr>
        <w:pStyle w:val="ListParagraph"/>
        <w:numPr>
          <w:ilvl w:val="0"/>
          <w:numId w:val="3"/>
        </w:numPr>
        <w:tabs>
          <w:tab w:val="left" w:pos="810"/>
        </w:tabs>
        <w:ind w:left="630" w:hanging="270"/>
      </w:pPr>
      <w:r w:rsidRPr="00ED5EE0">
        <w:t xml:space="preserve">Failure to verify that there are adequate controls for the acceptance of items procured from a </w:t>
      </w:r>
      <w:proofErr w:type="gramStart"/>
      <w:r w:rsidRPr="00ED5EE0">
        <w:t>third party</w:t>
      </w:r>
      <w:proofErr w:type="gramEnd"/>
      <w:r w:rsidRPr="00ED5EE0">
        <w:t xml:space="preserve"> dedicating entity; and,</w:t>
      </w:r>
    </w:p>
    <w:p w14:paraId="45817F19" w14:textId="4084D0C3" w:rsidR="00ED5EE0" w:rsidRDefault="00ED5EE0" w:rsidP="008B4A9E">
      <w:pPr>
        <w:pStyle w:val="ListParagraph"/>
        <w:numPr>
          <w:ilvl w:val="0"/>
          <w:numId w:val="3"/>
        </w:numPr>
        <w:tabs>
          <w:tab w:val="left" w:pos="0"/>
          <w:tab w:val="left" w:pos="810"/>
        </w:tabs>
      </w:pPr>
      <w:r w:rsidRPr="00ED5EE0">
        <w:lastRenderedPageBreak/>
        <w:t>Failure to appropriately identify critical characteristics (e.g., seismic and environmental qualification)</w:t>
      </w:r>
      <w:r w:rsidR="00D35761">
        <w:t>.</w:t>
      </w:r>
    </w:p>
    <w:p w14:paraId="5A1AAD79" w14:textId="77777777" w:rsidR="00ED5EE0" w:rsidRDefault="00ED5EE0" w:rsidP="00CF5EFE">
      <w:pPr>
        <w:pStyle w:val="ListParagraph"/>
        <w:tabs>
          <w:tab w:val="left" w:pos="810"/>
        </w:tabs>
        <w:ind w:left="0" w:hanging="720"/>
      </w:pPr>
    </w:p>
    <w:p w14:paraId="15DC0E27" w14:textId="32D19EC0" w:rsidR="00ED5EE0" w:rsidRPr="00235B10" w:rsidRDefault="00ED5EE0" w:rsidP="00ED5EE0">
      <w:pPr>
        <w:pStyle w:val="ListParagraph"/>
        <w:tabs>
          <w:tab w:val="left" w:pos="810"/>
        </w:tabs>
        <w:ind w:left="0"/>
        <w:rPr>
          <w:u w:val="single"/>
        </w:rPr>
      </w:pPr>
      <w:r>
        <w:t>02.02</w:t>
      </w:r>
      <w:r>
        <w:tab/>
      </w:r>
      <w:r w:rsidRPr="00ED5EE0">
        <w:rPr>
          <w:u w:val="single"/>
        </w:rPr>
        <w:t>Issues Introduced Through Procurement and Design Modifications</w:t>
      </w:r>
    </w:p>
    <w:p w14:paraId="3617B25B" w14:textId="77777777" w:rsidR="00ED5EE0" w:rsidRDefault="00ED5EE0" w:rsidP="00ED5EE0">
      <w:pPr>
        <w:pStyle w:val="ListParagraph"/>
        <w:tabs>
          <w:tab w:val="left" w:pos="810"/>
        </w:tabs>
        <w:ind w:left="0"/>
      </w:pPr>
    </w:p>
    <w:p w14:paraId="7A1D6AA2" w14:textId="2A3B0E92" w:rsidR="00732993" w:rsidRDefault="00ED5EE0" w:rsidP="00BC6E0F">
      <w:r w:rsidRPr="00ED5EE0">
        <w:t>Operating experience staff recently identified several examples of failures attributed to deficiencies introduced through procurement and dedication activities over the past five years.</w:t>
      </w:r>
      <w:r w:rsidR="00C2090A">
        <w:t xml:space="preserve"> </w:t>
      </w:r>
      <w:r w:rsidRPr="00ED5EE0">
        <w:t xml:space="preserve"> Many of these deficiencies were introduced as part of design modification </w:t>
      </w:r>
      <w:r w:rsidR="0075413F" w:rsidRPr="00ED5EE0">
        <w:t>activities and</w:t>
      </w:r>
      <w:r w:rsidRPr="00ED5EE0">
        <w:t xml:space="preserve"> resulted in violations of Appendix B to 10 CFR Part 50</w:t>
      </w:r>
      <w:r w:rsidR="00CC199F">
        <w:t>, “</w:t>
      </w:r>
      <w:r w:rsidR="00CC199F" w:rsidRPr="00CC199F">
        <w:rPr>
          <w:lang w:val="en"/>
        </w:rPr>
        <w:t>Quality Assurance Criteria for Nuclear Power Plants and Fuel Reprocessing Plants</w:t>
      </w:r>
      <w:r w:rsidR="00CC199F">
        <w:rPr>
          <w:lang w:val="en"/>
        </w:rPr>
        <w:t xml:space="preserve">” </w:t>
      </w:r>
      <w:r w:rsidRPr="00ED5EE0">
        <w:t>and Technical Specifications.</w:t>
      </w:r>
      <w:r w:rsidR="00C2090A">
        <w:t xml:space="preserve"> </w:t>
      </w:r>
      <w:r w:rsidRPr="00ED5EE0">
        <w:t xml:space="preserve"> These events show that many of the issues that were identified during the </w:t>
      </w:r>
      <w:r w:rsidR="00BF3E8C">
        <w:t>CGD</w:t>
      </w:r>
      <w:r w:rsidRPr="00ED5EE0">
        <w:t xml:space="preserve"> inspection pilot described above continue to occur. </w:t>
      </w:r>
      <w:r w:rsidR="00BF3E8C">
        <w:t xml:space="preserve"> </w:t>
      </w:r>
      <w:r w:rsidRPr="00ED5EE0">
        <w:t>Many of the events involved inadequate assumptions that introduced new failure modes.</w:t>
      </w:r>
      <w:r w:rsidR="00C2090A">
        <w:t xml:space="preserve"> </w:t>
      </w:r>
      <w:r w:rsidRPr="00ED5EE0">
        <w:t xml:space="preserve"> These events are described in more detail in sections 0</w:t>
      </w:r>
      <w:r w:rsidR="00BF3E8C">
        <w:t>4</w:t>
      </w:r>
      <w:r w:rsidR="00EA58F1">
        <w:t>.03</w:t>
      </w:r>
      <w:r w:rsidRPr="00ED5EE0">
        <w:t>, “Generic Communications” and 0</w:t>
      </w:r>
      <w:r w:rsidR="00BF3E8C">
        <w:t>4</w:t>
      </w:r>
      <w:r w:rsidRPr="00ED5EE0">
        <w:t>.0</w:t>
      </w:r>
      <w:r w:rsidR="00BF3E8C">
        <w:t>4</w:t>
      </w:r>
      <w:r w:rsidRPr="00ED5EE0">
        <w:t xml:space="preserve"> “Examples of previous inspection findings” below.</w:t>
      </w:r>
    </w:p>
    <w:p w14:paraId="4340AA3C" w14:textId="77777777" w:rsidR="00ED5EE0" w:rsidRDefault="00ED5EE0" w:rsidP="00BC6E0F"/>
    <w:p w14:paraId="22CF8B07" w14:textId="767A7C3E" w:rsidR="00ED5EE0" w:rsidRDefault="00ED5EE0" w:rsidP="00BC6E0F">
      <w:r w:rsidRPr="00ED5EE0">
        <w:t>Some of the issues operating experience staff identified from analysis of these events include:</w:t>
      </w:r>
    </w:p>
    <w:p w14:paraId="53FD44D1" w14:textId="77777777" w:rsidR="00ED5EE0" w:rsidRDefault="00ED5EE0" w:rsidP="00BC6E0F"/>
    <w:p w14:paraId="7A75AEEB" w14:textId="77777777" w:rsidR="00ED5EE0" w:rsidRDefault="00ED5EE0" w:rsidP="008B4A9E">
      <w:pPr>
        <w:pStyle w:val="ListParagraph"/>
        <w:numPr>
          <w:ilvl w:val="0"/>
          <w:numId w:val="4"/>
        </w:numPr>
      </w:pPr>
      <w:r>
        <w:t>Failure to verify the suitability of replacement parts</w:t>
      </w:r>
    </w:p>
    <w:p w14:paraId="0FC46C27" w14:textId="0B20179F" w:rsidR="00ED5EE0" w:rsidRDefault="00ED5EE0" w:rsidP="00CF5EFE">
      <w:pPr>
        <w:pStyle w:val="ListParagraph"/>
        <w:numPr>
          <w:ilvl w:val="1"/>
          <w:numId w:val="4"/>
        </w:numPr>
        <w:ind w:hanging="630"/>
      </w:pPr>
      <w:r>
        <w:t>failure to perform seismic testing or</w:t>
      </w:r>
      <w:r w:rsidR="00CC199F">
        <w:t xml:space="preserve"> provide a</w:t>
      </w:r>
      <w:r>
        <w:t xml:space="preserve"> justification </w:t>
      </w:r>
      <w:r w:rsidR="00681EC8">
        <w:t xml:space="preserve">for continued qualification, </w:t>
      </w:r>
      <w:r w:rsidR="00CC199F">
        <w:t>such as a similarity analysis, when replacing</w:t>
      </w:r>
      <w:r>
        <w:t xml:space="preserve"> obsolete breakers</w:t>
      </w:r>
    </w:p>
    <w:p w14:paraId="7D75D487" w14:textId="26373199" w:rsidR="00ED5EE0" w:rsidRDefault="00ED5EE0" w:rsidP="00CF5EFE">
      <w:pPr>
        <w:pStyle w:val="ListParagraph"/>
        <w:numPr>
          <w:ilvl w:val="1"/>
          <w:numId w:val="4"/>
        </w:numPr>
        <w:ind w:hanging="630"/>
      </w:pPr>
      <w:r>
        <w:t xml:space="preserve">unexpected failure or behavior of equipment </w:t>
      </w:r>
      <w:proofErr w:type="gramStart"/>
      <w:r>
        <w:t>as a result of</w:t>
      </w:r>
      <w:proofErr w:type="gramEnd"/>
      <w:r>
        <w:t xml:space="preserve"> unused features (e.g., thermal overloads, jumpers, pump ports, grounding straps)</w:t>
      </w:r>
    </w:p>
    <w:p w14:paraId="2C67405F" w14:textId="77777777" w:rsidR="00ED5EE0" w:rsidRDefault="00ED5EE0" w:rsidP="008B4A9E">
      <w:pPr>
        <w:pStyle w:val="ListParagraph"/>
        <w:numPr>
          <w:ilvl w:val="0"/>
          <w:numId w:val="4"/>
        </w:numPr>
      </w:pPr>
      <w:r>
        <w:t>Failure to identify or properly document design requirements</w:t>
      </w:r>
    </w:p>
    <w:p w14:paraId="101D43C6" w14:textId="77777777" w:rsidR="00ED5EE0" w:rsidRDefault="00ED5EE0" w:rsidP="00CF5EFE">
      <w:pPr>
        <w:pStyle w:val="ListParagraph"/>
        <w:numPr>
          <w:ilvl w:val="1"/>
          <w:numId w:val="4"/>
        </w:numPr>
        <w:ind w:hanging="630"/>
      </w:pPr>
      <w:r>
        <w:t>failure to identify critical characteristics</w:t>
      </w:r>
    </w:p>
    <w:p w14:paraId="4DBDAC71" w14:textId="77777777" w:rsidR="00ED5EE0" w:rsidRDefault="00ED5EE0" w:rsidP="00CF5EFE">
      <w:pPr>
        <w:pStyle w:val="ListParagraph"/>
        <w:numPr>
          <w:ilvl w:val="1"/>
          <w:numId w:val="4"/>
        </w:numPr>
        <w:ind w:hanging="630"/>
      </w:pPr>
      <w:r>
        <w:t>lack of appropriate definitions or guidance for technical evaluations</w:t>
      </w:r>
    </w:p>
    <w:p w14:paraId="008D36A8" w14:textId="77777777" w:rsidR="00ED5EE0" w:rsidRDefault="00ED5EE0" w:rsidP="008B4A9E">
      <w:pPr>
        <w:pStyle w:val="ListParagraph"/>
        <w:numPr>
          <w:ilvl w:val="0"/>
          <w:numId w:val="4"/>
        </w:numPr>
      </w:pPr>
      <w:r>
        <w:t xml:space="preserve">Inadequate qualification/testing </w:t>
      </w:r>
    </w:p>
    <w:p w14:paraId="44768912" w14:textId="77777777" w:rsidR="00ED5EE0" w:rsidRDefault="00ED5EE0" w:rsidP="00CF5EFE">
      <w:pPr>
        <w:pStyle w:val="ListParagraph"/>
        <w:numPr>
          <w:ilvl w:val="1"/>
          <w:numId w:val="4"/>
        </w:numPr>
        <w:ind w:hanging="630"/>
      </w:pPr>
      <w:r>
        <w:t xml:space="preserve">testing does not mimic actual configuration </w:t>
      </w:r>
    </w:p>
    <w:p w14:paraId="127560AB" w14:textId="77777777" w:rsidR="00ED5EE0" w:rsidRDefault="00ED5EE0" w:rsidP="00CF5EFE">
      <w:pPr>
        <w:pStyle w:val="ListParagraph"/>
        <w:numPr>
          <w:ilvl w:val="1"/>
          <w:numId w:val="4"/>
        </w:numPr>
        <w:ind w:hanging="630"/>
      </w:pPr>
      <w:r>
        <w:t>differences between testing configuration and actual configuration are not analyzed to ensure testing configuration bounds expected conditions</w:t>
      </w:r>
    </w:p>
    <w:p w14:paraId="3C0A38FE" w14:textId="77777777" w:rsidR="00ED5EE0" w:rsidRDefault="00ED5EE0" w:rsidP="008B4A9E">
      <w:pPr>
        <w:pStyle w:val="ListParagraph"/>
        <w:numPr>
          <w:ilvl w:val="0"/>
          <w:numId w:val="4"/>
        </w:numPr>
      </w:pPr>
      <w:r>
        <w:t>Inadequate oversight/overreliance on outside organizations contracted to perform design, manufacturing, testing, qualification, reverse engineering, etc.</w:t>
      </w:r>
    </w:p>
    <w:p w14:paraId="6F393CF1" w14:textId="77777777" w:rsidR="00ED5EE0" w:rsidRDefault="00ED5EE0" w:rsidP="00CF5EFE">
      <w:pPr>
        <w:pStyle w:val="ListParagraph"/>
        <w:numPr>
          <w:ilvl w:val="1"/>
          <w:numId w:val="4"/>
        </w:numPr>
        <w:ind w:hanging="630"/>
      </w:pPr>
      <w:r>
        <w:t>incorrect components installed</w:t>
      </w:r>
    </w:p>
    <w:p w14:paraId="01E3CD22" w14:textId="33D97000" w:rsidR="00ED5EE0" w:rsidRDefault="00ED5EE0" w:rsidP="00CF5EFE">
      <w:pPr>
        <w:pStyle w:val="ListParagraph"/>
        <w:numPr>
          <w:ilvl w:val="1"/>
          <w:numId w:val="4"/>
        </w:numPr>
        <w:ind w:hanging="630"/>
      </w:pPr>
      <w:r>
        <w:t xml:space="preserve">inadequate verification that services </w:t>
      </w:r>
      <w:r w:rsidR="00CC199F">
        <w:t xml:space="preserve">were </w:t>
      </w:r>
      <w:r>
        <w:t>performed as specified</w:t>
      </w:r>
    </w:p>
    <w:p w14:paraId="1B415444" w14:textId="77777777" w:rsidR="00ED5EE0" w:rsidRDefault="00ED5EE0" w:rsidP="00CF5EFE">
      <w:pPr>
        <w:pStyle w:val="ListParagraph"/>
        <w:numPr>
          <w:ilvl w:val="1"/>
          <w:numId w:val="4"/>
        </w:numPr>
        <w:ind w:hanging="630"/>
      </w:pPr>
      <w:r>
        <w:t>equivalency evaluations with inadequate technical justifications for differences from original equipment</w:t>
      </w:r>
    </w:p>
    <w:p w14:paraId="344A700D" w14:textId="77777777" w:rsidR="00ED5EE0" w:rsidRDefault="00ED5EE0" w:rsidP="00CF5EFE">
      <w:pPr>
        <w:pStyle w:val="ListParagraph"/>
        <w:numPr>
          <w:ilvl w:val="1"/>
          <w:numId w:val="4"/>
        </w:numPr>
        <w:ind w:hanging="630"/>
      </w:pPr>
      <w:r>
        <w:t>inadequate assumptions made to designate a component as a like-for-like replacement</w:t>
      </w:r>
    </w:p>
    <w:p w14:paraId="26B967CF" w14:textId="77777777" w:rsidR="00ED5EE0" w:rsidRDefault="00ED5EE0" w:rsidP="008B4A9E">
      <w:pPr>
        <w:pStyle w:val="ListParagraph"/>
        <w:numPr>
          <w:ilvl w:val="0"/>
          <w:numId w:val="4"/>
        </w:numPr>
      </w:pPr>
      <w:r>
        <w:t>Failure to properly dedicate commercial grade items</w:t>
      </w:r>
    </w:p>
    <w:p w14:paraId="31D035CF" w14:textId="77777777" w:rsidR="00ED5EE0" w:rsidRDefault="00ED5EE0" w:rsidP="00CF5EFE">
      <w:pPr>
        <w:pStyle w:val="ListParagraph"/>
        <w:numPr>
          <w:ilvl w:val="1"/>
          <w:numId w:val="4"/>
        </w:numPr>
        <w:ind w:hanging="630"/>
      </w:pPr>
      <w:r>
        <w:t xml:space="preserve">improper documentation or control of components’ design and manufacturing processes </w:t>
      </w:r>
    </w:p>
    <w:p w14:paraId="1BAD163A" w14:textId="77777777" w:rsidR="00ED5EE0" w:rsidRDefault="00ED5EE0" w:rsidP="00AE0D03">
      <w:pPr>
        <w:pStyle w:val="ListParagraph"/>
        <w:numPr>
          <w:ilvl w:val="0"/>
          <w:numId w:val="4"/>
        </w:numPr>
      </w:pPr>
      <w:r>
        <w:t>Inadequate inspection/testing to verify items conform to specifications</w:t>
      </w:r>
    </w:p>
    <w:p w14:paraId="5A3A623F" w14:textId="538E9D76" w:rsidR="00ED5EE0" w:rsidRDefault="00BF3E8C" w:rsidP="00CF5EFE">
      <w:pPr>
        <w:pStyle w:val="ListParagraph"/>
        <w:numPr>
          <w:ilvl w:val="0"/>
          <w:numId w:val="11"/>
        </w:numPr>
        <w:ind w:hanging="630"/>
      </w:pPr>
      <w:r>
        <w:t>F</w:t>
      </w:r>
      <w:r w:rsidR="00ED5EE0">
        <w:t>ailure to inspect test or fabrication records</w:t>
      </w:r>
    </w:p>
    <w:p w14:paraId="0CD7E70D" w14:textId="77777777" w:rsidR="00ED5EE0" w:rsidRDefault="00ED5EE0" w:rsidP="00CF5EFE">
      <w:pPr>
        <w:pStyle w:val="ListParagraph"/>
        <w:numPr>
          <w:ilvl w:val="1"/>
          <w:numId w:val="4"/>
        </w:numPr>
        <w:ind w:hanging="630"/>
      </w:pPr>
      <w:r>
        <w:t>inadequate inspection or checks to identify design changes in procured items</w:t>
      </w:r>
    </w:p>
    <w:p w14:paraId="51C7A13B" w14:textId="77777777" w:rsidR="00ED5EE0" w:rsidRDefault="00ED5EE0" w:rsidP="00CF5EFE">
      <w:pPr>
        <w:pStyle w:val="ListParagraph"/>
        <w:numPr>
          <w:ilvl w:val="1"/>
          <w:numId w:val="4"/>
        </w:numPr>
        <w:ind w:hanging="630"/>
      </w:pPr>
      <w:r>
        <w:t>incorrect parts used</w:t>
      </w:r>
    </w:p>
    <w:p w14:paraId="72814785" w14:textId="77777777" w:rsidR="00ED5EE0" w:rsidRDefault="00ED5EE0" w:rsidP="00CF5EFE">
      <w:pPr>
        <w:pStyle w:val="ListParagraph"/>
        <w:numPr>
          <w:ilvl w:val="1"/>
          <w:numId w:val="4"/>
        </w:numPr>
        <w:ind w:hanging="630"/>
      </w:pPr>
      <w:r>
        <w:t>failure to perform testing or verify adequacy of testing procedures</w:t>
      </w:r>
    </w:p>
    <w:p w14:paraId="64A1B984" w14:textId="77777777" w:rsidR="00ED5EE0" w:rsidRDefault="00ED5EE0" w:rsidP="00CF5EFE">
      <w:pPr>
        <w:pStyle w:val="ListParagraph"/>
        <w:numPr>
          <w:ilvl w:val="1"/>
          <w:numId w:val="4"/>
        </w:numPr>
        <w:ind w:hanging="630"/>
      </w:pPr>
      <w:r>
        <w:t>inadequate receipt inspections</w:t>
      </w:r>
    </w:p>
    <w:p w14:paraId="2B56F511" w14:textId="77777777" w:rsidR="00ED5EE0" w:rsidRDefault="00ED5EE0" w:rsidP="00AE0D03">
      <w:pPr>
        <w:pStyle w:val="ListParagraph"/>
        <w:numPr>
          <w:ilvl w:val="0"/>
          <w:numId w:val="4"/>
        </w:numPr>
      </w:pPr>
      <w:r>
        <w:t>Failure to perform and document evaluation of non-conforming conditions</w:t>
      </w:r>
    </w:p>
    <w:p w14:paraId="4204472C" w14:textId="77777777" w:rsidR="00ED5EE0" w:rsidRDefault="00ED5EE0" w:rsidP="00AE0D03">
      <w:pPr>
        <w:pStyle w:val="ListParagraph"/>
        <w:numPr>
          <w:ilvl w:val="0"/>
          <w:numId w:val="4"/>
        </w:numPr>
      </w:pPr>
      <w:r>
        <w:t>Inadequate segregation of items identified as non-conforming (e.g. exceeding shelf life, failing to conform to testing requirements etc.)</w:t>
      </w:r>
    </w:p>
    <w:p w14:paraId="392B2D17" w14:textId="77777777" w:rsidR="00ED5EE0" w:rsidRDefault="00ED5EE0" w:rsidP="00AE0D03">
      <w:pPr>
        <w:pStyle w:val="ListParagraph"/>
        <w:numPr>
          <w:ilvl w:val="0"/>
          <w:numId w:val="4"/>
        </w:numPr>
      </w:pPr>
      <w:r>
        <w:t>Failure to properly classify procured items commensurate with safety impact</w:t>
      </w:r>
    </w:p>
    <w:p w14:paraId="486D977C" w14:textId="77777777" w:rsidR="00ED5EE0" w:rsidRDefault="00ED5EE0" w:rsidP="00AE0D03">
      <w:pPr>
        <w:pStyle w:val="ListParagraph"/>
        <w:numPr>
          <w:ilvl w:val="0"/>
          <w:numId w:val="4"/>
        </w:numPr>
      </w:pPr>
      <w:r>
        <w:lastRenderedPageBreak/>
        <w:t>Failure to take appropriate corrective actions for identified deficiencies</w:t>
      </w:r>
    </w:p>
    <w:p w14:paraId="5590BF9D" w14:textId="4249B290" w:rsidR="00732993" w:rsidRDefault="00ED5EE0" w:rsidP="00AE0D03">
      <w:pPr>
        <w:pStyle w:val="ListParagraph"/>
        <w:numPr>
          <w:ilvl w:val="0"/>
          <w:numId w:val="4"/>
        </w:numPr>
      </w:pPr>
      <w:r>
        <w:t>Inadequate extent of condition evaluation when deficiencies are identified</w:t>
      </w:r>
    </w:p>
    <w:p w14:paraId="4F58F939" w14:textId="77777777" w:rsidR="00C2090A" w:rsidRDefault="00C2090A" w:rsidP="00BC6E0F"/>
    <w:p w14:paraId="64D1061D" w14:textId="77777777" w:rsidR="00C2090A" w:rsidRDefault="00C2090A" w:rsidP="00BC6E0F"/>
    <w:p w14:paraId="063B1B18" w14:textId="235DE96F" w:rsidR="00FA6080" w:rsidRPr="00FF6355" w:rsidRDefault="00BE43A2" w:rsidP="00BC6E0F">
      <w:r>
        <w:t xml:space="preserve">OpESS </w:t>
      </w:r>
      <w:r w:rsidR="00495C4B">
        <w:t>2019/01</w:t>
      </w:r>
      <w:r w:rsidR="003D4F96" w:rsidRPr="00FF6355">
        <w:t>-0</w:t>
      </w:r>
      <w:r w:rsidR="00732993">
        <w:t>3</w:t>
      </w:r>
      <w:r w:rsidR="003D4F96" w:rsidRPr="00FF6355">
        <w:tab/>
        <w:t>INSPECTION</w:t>
      </w:r>
      <w:r w:rsidR="00FA6080" w:rsidRPr="00FF6355">
        <w:t xml:space="preserve"> </w:t>
      </w:r>
      <w:r w:rsidR="005245D9" w:rsidRPr="00FF6355">
        <w:t>GUIDANCE</w:t>
      </w:r>
    </w:p>
    <w:p w14:paraId="248B0EE9" w14:textId="77777777" w:rsidR="00FA6080" w:rsidRDefault="00FA6080" w:rsidP="00BC6E0F"/>
    <w:p w14:paraId="05C7B40D" w14:textId="03EB4A5C" w:rsidR="00C7364A" w:rsidRDefault="004B5D20" w:rsidP="00BC6E0F">
      <w:r w:rsidRPr="004B5D20">
        <w:t>The following inspection guidance may be applied as appropriate to support baseline inspection activities.</w:t>
      </w:r>
      <w:r w:rsidR="00BF3E8C">
        <w:t xml:space="preserve"> </w:t>
      </w:r>
      <w:r w:rsidRPr="004B5D20">
        <w:t xml:space="preserve"> Inspector judgment should be used when determining the extent to which this OpESS should be used to inform inspection activities under the applicable baseline IPs.</w:t>
      </w:r>
      <w:r w:rsidR="00D35761">
        <w:t xml:space="preserve">  Additional information can be found in the references.  IP</w:t>
      </w:r>
      <w:r w:rsidR="001C4489">
        <w:t xml:space="preserve"> </w:t>
      </w:r>
      <w:r w:rsidR="00D35761">
        <w:t>43004, “Inspection of Commercial-Grade Dedication Programs” provides further detail on inspecting CGD.</w:t>
      </w:r>
    </w:p>
    <w:p w14:paraId="5952FB10" w14:textId="77777777" w:rsidR="00C7364A" w:rsidRDefault="00C7364A" w:rsidP="00BC6E0F"/>
    <w:p w14:paraId="27151625" w14:textId="77777777" w:rsidR="004A6297" w:rsidRDefault="008F6F7E" w:rsidP="005D3DD2">
      <w:pPr>
        <w:tabs>
          <w:tab w:val="left" w:pos="810"/>
        </w:tabs>
      </w:pPr>
      <w:r>
        <w:t>0</w:t>
      </w:r>
      <w:r w:rsidR="00732993">
        <w:t>3</w:t>
      </w:r>
      <w:r w:rsidR="005B0C28">
        <w:t>.0</w:t>
      </w:r>
      <w:r w:rsidR="00732993">
        <w:t>1</w:t>
      </w:r>
      <w:r w:rsidR="005B0C28">
        <w:tab/>
      </w:r>
      <w:r w:rsidR="004B5D20" w:rsidRPr="004B5D20">
        <w:rPr>
          <w:u w:val="single"/>
        </w:rPr>
        <w:t xml:space="preserve">Maintenance </w:t>
      </w:r>
      <w:r w:rsidR="00BF3E8C" w:rsidRPr="004B5D20">
        <w:rPr>
          <w:u w:val="single"/>
        </w:rPr>
        <w:t>Effectiveness</w:t>
      </w:r>
      <w:r w:rsidR="00BF3E8C">
        <w:t xml:space="preserve"> </w:t>
      </w:r>
    </w:p>
    <w:p w14:paraId="514F4F5A" w14:textId="77777777" w:rsidR="004A6297" w:rsidRDefault="004A6297" w:rsidP="005D3DD2">
      <w:pPr>
        <w:tabs>
          <w:tab w:val="left" w:pos="810"/>
        </w:tabs>
      </w:pPr>
    </w:p>
    <w:p w14:paraId="2695FDA4" w14:textId="6EFF4036" w:rsidR="000E5A63" w:rsidRDefault="00BF3E8C" w:rsidP="005D3DD2">
      <w:pPr>
        <w:tabs>
          <w:tab w:val="left" w:pos="810"/>
        </w:tabs>
      </w:pPr>
      <w:r>
        <w:t>The</w:t>
      </w:r>
      <w:r w:rsidR="004B5D20" w:rsidRPr="004B5D20">
        <w:t xml:space="preserve"> recommended inspection activity described below supports IP 71111.12, “Maintenance Effectiveness.”</w:t>
      </w:r>
    </w:p>
    <w:p w14:paraId="736A8EFA" w14:textId="77777777" w:rsidR="009C0CF1" w:rsidRDefault="009C0CF1" w:rsidP="004B5D20">
      <w:pPr>
        <w:tabs>
          <w:tab w:val="left" w:pos="810"/>
        </w:tabs>
      </w:pPr>
    </w:p>
    <w:p w14:paraId="5C0CF1A0" w14:textId="2B20C295" w:rsidR="009C0CF1" w:rsidRDefault="009C0CF1" w:rsidP="00EC1513">
      <w:pPr>
        <w:pStyle w:val="ListParagraph"/>
        <w:ind w:left="0"/>
      </w:pPr>
      <w:r>
        <w:t xml:space="preserve">Review a maintenance activity where the licensee is replacing electrical or electronic components such as relays, breakers, or circuit cards with a like-for-like or equivalent component.  </w:t>
      </w:r>
      <w:r w:rsidRPr="00736C84">
        <w:t>[Supports IP 71111.</w:t>
      </w:r>
      <w:r>
        <w:t>12</w:t>
      </w:r>
      <w:r w:rsidRPr="00736C84">
        <w:t>, Section 02.0</w:t>
      </w:r>
      <w:r>
        <w:t>2a</w:t>
      </w:r>
      <w:r w:rsidRPr="00736C84">
        <w:t>]</w:t>
      </w:r>
    </w:p>
    <w:p w14:paraId="779E660E" w14:textId="77777777" w:rsidR="009C0CF1" w:rsidRDefault="009C0CF1" w:rsidP="009C0CF1">
      <w:pPr>
        <w:ind w:left="605"/>
      </w:pPr>
    </w:p>
    <w:p w14:paraId="12BE2C9C" w14:textId="77777777" w:rsidR="009C0CF1" w:rsidRDefault="009C0CF1" w:rsidP="00681EC8">
      <w:pPr>
        <w:pStyle w:val="ListParagraph"/>
        <w:numPr>
          <w:ilvl w:val="1"/>
          <w:numId w:val="7"/>
        </w:numPr>
      </w:pPr>
      <w:r>
        <w:t xml:space="preserve">Verify that there are adequate measures </w:t>
      </w:r>
      <w:r w:rsidRPr="00FF0D1C">
        <w:t>for the acceptance of procured</w:t>
      </w:r>
      <w:r>
        <w:t xml:space="preserve"> items, including receipt inspections.</w:t>
      </w:r>
    </w:p>
    <w:p w14:paraId="24C22A86" w14:textId="77777777" w:rsidR="009C0CF1" w:rsidRDefault="009C0CF1" w:rsidP="00BF3E8C">
      <w:pPr>
        <w:pStyle w:val="ListParagraph"/>
        <w:ind w:left="605"/>
      </w:pPr>
    </w:p>
    <w:p w14:paraId="47E625F4" w14:textId="77777777" w:rsidR="009C0CF1" w:rsidRDefault="009C0CF1" w:rsidP="00681EC8">
      <w:pPr>
        <w:pStyle w:val="ListParagraph"/>
        <w:numPr>
          <w:ilvl w:val="1"/>
          <w:numId w:val="7"/>
        </w:numPr>
      </w:pPr>
      <w:r>
        <w:t xml:space="preserve">Verify that there are adequate measures for ensuring that the replacement component can perform the same functions as the original component. </w:t>
      </w:r>
    </w:p>
    <w:p w14:paraId="634AE239" w14:textId="77777777" w:rsidR="009C0CF1" w:rsidRDefault="009C0CF1" w:rsidP="009C0CF1">
      <w:pPr>
        <w:pStyle w:val="ListParagraph"/>
      </w:pPr>
    </w:p>
    <w:p w14:paraId="4AD583B7" w14:textId="728E4651" w:rsidR="009C0CF1" w:rsidRDefault="009C0CF1" w:rsidP="00AE0D03">
      <w:pPr>
        <w:pStyle w:val="ListParagraph"/>
        <w:numPr>
          <w:ilvl w:val="0"/>
          <w:numId w:val="9"/>
        </w:numPr>
        <w:ind w:hanging="490"/>
      </w:pPr>
      <w:r>
        <w:t xml:space="preserve">Relying on the model or part number or external physical appearance may not be enough to ensure </w:t>
      </w:r>
      <w:r w:rsidR="00CC199F">
        <w:t xml:space="preserve">that </w:t>
      </w:r>
      <w:r>
        <w:t xml:space="preserve">functionality remains unchanged, or a different mode of failure was not inadvertently introduced. </w:t>
      </w:r>
      <w:r w:rsidR="00C2090A">
        <w:t xml:space="preserve"> </w:t>
      </w:r>
      <w:r>
        <w:t xml:space="preserve">Like-for-like replacement is described in further detail in IP 43004, “Inspection of Commercial Grade Dedication Programs,” Section 03.01b. </w:t>
      </w:r>
      <w:r w:rsidR="00C2090A">
        <w:t xml:space="preserve"> </w:t>
      </w:r>
      <w:r>
        <w:t>In general, like-for-like may be applicable when the replacement item was purchased from the same vendor (successor companies may be accepted), pr</w:t>
      </w:r>
      <w:r w:rsidR="00CC199F">
        <w:t>ovided all design, materials, and</w:t>
      </w:r>
      <w:r>
        <w:t xml:space="preserve"> manufacturing processes are kept the same, or the replacement item was purchased at the same time and from the same vendor as the item it is replacing.</w:t>
      </w:r>
    </w:p>
    <w:p w14:paraId="7C2AE99B" w14:textId="77777777" w:rsidR="009C0CF1" w:rsidRDefault="009C0CF1" w:rsidP="009C0CF1">
      <w:pPr>
        <w:pStyle w:val="ListParagraph"/>
        <w:ind w:left="1080"/>
      </w:pPr>
    </w:p>
    <w:p w14:paraId="59FC0D52" w14:textId="32840E7D" w:rsidR="009C0CF1" w:rsidRDefault="00681EC8" w:rsidP="00681EC8">
      <w:pPr>
        <w:pStyle w:val="ListParagraph"/>
        <w:numPr>
          <w:ilvl w:val="1"/>
          <w:numId w:val="7"/>
        </w:numPr>
      </w:pPr>
      <w:r>
        <w:t>For items that are not</w:t>
      </w:r>
      <w:r w:rsidR="009C0CF1">
        <w:t xml:space="preserve"> like-for-like replacement</w:t>
      </w:r>
      <w:r>
        <w:t>s</w:t>
      </w:r>
      <w:r w:rsidR="009C0CF1">
        <w:t>, review the licensee’s equivalency evaluation.</w:t>
      </w:r>
      <w:r w:rsidR="00542853">
        <w:t xml:space="preserve"> </w:t>
      </w:r>
      <w:r w:rsidR="009C0CF1">
        <w:t xml:space="preserve"> This evaluation should evaluate any changes in design, material, manufacturing process, safety, form, fit, function or interchangeability that could impact the alternate replacement item’s ability to function under all design conditions. </w:t>
      </w:r>
    </w:p>
    <w:p w14:paraId="7574C6F9" w14:textId="77777777" w:rsidR="009C0CF1" w:rsidRDefault="009C0CF1" w:rsidP="009C0CF1">
      <w:pPr>
        <w:pStyle w:val="ListParagraph"/>
        <w:ind w:left="1080"/>
      </w:pPr>
    </w:p>
    <w:p w14:paraId="582BB279" w14:textId="4369950A" w:rsidR="009C0CF1" w:rsidRDefault="009C0CF1" w:rsidP="00AE0D03">
      <w:pPr>
        <w:pStyle w:val="ListParagraph"/>
        <w:numPr>
          <w:ilvl w:val="0"/>
          <w:numId w:val="9"/>
        </w:numPr>
        <w:ind w:hanging="490"/>
      </w:pPr>
      <w:r>
        <w:t>Note that equivalency evaluations should not be used as the sole basis to accept a commercial grade item for safety-related use.</w:t>
      </w:r>
      <w:r w:rsidR="00AC59EE">
        <w:t xml:space="preserve"> </w:t>
      </w:r>
      <w:r>
        <w:t xml:space="preserve"> The item must still undergo dedication.</w:t>
      </w:r>
    </w:p>
    <w:p w14:paraId="1F6ABF33" w14:textId="77777777" w:rsidR="009C0CF1" w:rsidRDefault="009C0CF1" w:rsidP="009C0CF1">
      <w:pPr>
        <w:pStyle w:val="ListParagraph"/>
      </w:pPr>
    </w:p>
    <w:p w14:paraId="5D35C8F0" w14:textId="0BB7E65B" w:rsidR="009C0CF1" w:rsidRDefault="009C0CF1" w:rsidP="00681EC8">
      <w:pPr>
        <w:pStyle w:val="ListParagraph"/>
        <w:numPr>
          <w:ilvl w:val="1"/>
          <w:numId w:val="7"/>
        </w:numPr>
      </w:pPr>
      <w:r>
        <w:t xml:space="preserve">Review maintenance documentation accounts for configuration control </w:t>
      </w:r>
      <w:r w:rsidR="0075413F">
        <w:t>and wiring</w:t>
      </w:r>
      <w:r>
        <w:t xml:space="preserve">, as well as unused features such as jumpers, thermal overloads, and grounding straps. </w:t>
      </w:r>
    </w:p>
    <w:p w14:paraId="1B450183" w14:textId="77777777" w:rsidR="00C278C1" w:rsidRDefault="00C278C1" w:rsidP="00C278C1">
      <w:pPr>
        <w:tabs>
          <w:tab w:val="left" w:pos="1350"/>
        </w:tabs>
      </w:pPr>
    </w:p>
    <w:p w14:paraId="33958CDB" w14:textId="77777777" w:rsidR="004A6297" w:rsidRDefault="00C278C1" w:rsidP="005D3DD2">
      <w:pPr>
        <w:tabs>
          <w:tab w:val="left" w:pos="810"/>
        </w:tabs>
      </w:pPr>
      <w:r>
        <w:lastRenderedPageBreak/>
        <w:t>03.02</w:t>
      </w:r>
      <w:r w:rsidR="006A5DBF">
        <w:tab/>
      </w:r>
      <w:r w:rsidRPr="00C278C1">
        <w:rPr>
          <w:u w:val="single"/>
        </w:rPr>
        <w:t>Plant Modifications</w:t>
      </w:r>
      <w:r>
        <w:t xml:space="preserve"> </w:t>
      </w:r>
    </w:p>
    <w:p w14:paraId="1B4A0EDB" w14:textId="77777777" w:rsidR="004A6297" w:rsidRDefault="004A6297" w:rsidP="005D3DD2">
      <w:pPr>
        <w:tabs>
          <w:tab w:val="left" w:pos="810"/>
        </w:tabs>
      </w:pPr>
    </w:p>
    <w:p w14:paraId="534BD2B2" w14:textId="0B496F93" w:rsidR="00C278C1" w:rsidRDefault="00C278C1" w:rsidP="005D3DD2">
      <w:pPr>
        <w:tabs>
          <w:tab w:val="left" w:pos="810"/>
        </w:tabs>
      </w:pPr>
      <w:r w:rsidRPr="00C278C1">
        <w:t>The recommended inspection activity described below supports IPs 71111.18, “Plant Modifications,” 71111.21M, “Design Bases Assurance Inspection (Teams),” and 71111.21N, “Design Bases Assurance Inspection (Programs).”</w:t>
      </w:r>
    </w:p>
    <w:p w14:paraId="30A9AE88" w14:textId="77777777" w:rsidR="009C0CF1" w:rsidRDefault="009C0CF1" w:rsidP="009C0CF1">
      <w:pPr>
        <w:tabs>
          <w:tab w:val="left" w:pos="1350"/>
        </w:tabs>
      </w:pPr>
    </w:p>
    <w:p w14:paraId="0AEACE8C" w14:textId="1ADCF7DE" w:rsidR="009C0CF1" w:rsidRDefault="009C0CF1" w:rsidP="00EC1513">
      <w:pPr>
        <w:pStyle w:val="ListParagraph"/>
        <w:ind w:left="0"/>
      </w:pPr>
      <w:r>
        <w:t>Review a plant modification involving electrical or electronic components such as relays, breakers, or circuit cards that are to be dedicated or reverse engineered.</w:t>
      </w:r>
      <w:r w:rsidR="00AC59EE">
        <w:t xml:space="preserve"> </w:t>
      </w:r>
      <w:r>
        <w:t xml:space="preserve"> </w:t>
      </w:r>
      <w:r w:rsidRPr="00BC3ECD">
        <w:t>Consider reviewing plant modifications involving replacement of obsolete components with dedicated or reverse engineered items.</w:t>
      </w:r>
      <w:r>
        <w:t xml:space="preserve"> </w:t>
      </w:r>
      <w:r w:rsidR="00AC59EE">
        <w:t xml:space="preserve"> </w:t>
      </w:r>
      <w:r>
        <w:t>Note that the dedication may be done by a licensee, a third party, or a combination of the two.</w:t>
      </w:r>
      <w:r w:rsidR="00465E8D">
        <w:t xml:space="preserve">  </w:t>
      </w:r>
      <w:r w:rsidRPr="00736C84">
        <w:t>[Supports IP 71111.</w:t>
      </w:r>
      <w:r>
        <w:t>18</w:t>
      </w:r>
      <w:r w:rsidRPr="00736C84">
        <w:t>, Section 0</w:t>
      </w:r>
      <w:r>
        <w:t>3</w:t>
      </w:r>
      <w:r w:rsidRPr="00736C84">
        <w:t>.0</w:t>
      </w:r>
      <w:r>
        <w:t>2a, IP 71111.21M Section 02.03, and IP 71111.21N, Section 03.02</w:t>
      </w:r>
      <w:r w:rsidRPr="00736C84">
        <w:t>]</w:t>
      </w:r>
    </w:p>
    <w:p w14:paraId="6D0296B1" w14:textId="77777777" w:rsidR="009C0CF1" w:rsidRDefault="009C0CF1" w:rsidP="009C0CF1">
      <w:pPr>
        <w:ind w:left="605"/>
      </w:pPr>
    </w:p>
    <w:p w14:paraId="175BE93B" w14:textId="1A54D776" w:rsidR="009C0CF1" w:rsidRDefault="00CC199F" w:rsidP="00681EC8">
      <w:pPr>
        <w:pStyle w:val="ListParagraph"/>
        <w:numPr>
          <w:ilvl w:val="0"/>
          <w:numId w:val="5"/>
        </w:numPr>
        <w:tabs>
          <w:tab w:val="left" w:pos="274"/>
          <w:tab w:val="left" w:pos="806"/>
          <w:tab w:val="left" w:pos="1440"/>
          <w:tab w:val="left" w:pos="2074"/>
        </w:tabs>
      </w:pPr>
      <w:r>
        <w:t>Verify that the dedicating entity</w:t>
      </w:r>
      <w:r w:rsidR="009C0CF1">
        <w:t xml:space="preserve"> has properly developed and implemented a plan for the </w:t>
      </w:r>
      <w:r w:rsidR="00465E8D">
        <w:t>CGD</w:t>
      </w:r>
      <w:r w:rsidR="009C0CF1">
        <w:t>.</w:t>
      </w:r>
    </w:p>
    <w:p w14:paraId="3C0F49AF" w14:textId="77777777" w:rsidR="009C0CF1" w:rsidRDefault="009C0CF1" w:rsidP="009C0CF1">
      <w:pPr>
        <w:tabs>
          <w:tab w:val="left" w:pos="274"/>
          <w:tab w:val="left" w:pos="806"/>
          <w:tab w:val="left" w:pos="1440"/>
          <w:tab w:val="left" w:pos="2074"/>
        </w:tabs>
      </w:pPr>
    </w:p>
    <w:p w14:paraId="318AA2D4" w14:textId="77777777" w:rsidR="009C0CF1" w:rsidRDefault="009C0CF1" w:rsidP="00681EC8">
      <w:pPr>
        <w:pStyle w:val="ListParagraph"/>
        <w:numPr>
          <w:ilvl w:val="0"/>
          <w:numId w:val="5"/>
        </w:numPr>
        <w:tabs>
          <w:tab w:val="left" w:pos="274"/>
          <w:tab w:val="left" w:pos="806"/>
          <w:tab w:val="left" w:pos="1440"/>
          <w:tab w:val="left" w:pos="2074"/>
        </w:tabs>
      </w:pPr>
      <w:r w:rsidRPr="00FF0D1C">
        <w:t xml:space="preserve">Verify that there are adequate controls for the acceptance of items procured </w:t>
      </w:r>
      <w:r>
        <w:t>from a commercial supplier.</w:t>
      </w:r>
    </w:p>
    <w:p w14:paraId="2E957A34" w14:textId="77777777" w:rsidR="009C0CF1" w:rsidRDefault="009C0CF1" w:rsidP="009C0CF1">
      <w:pPr>
        <w:pStyle w:val="ListParagraph"/>
      </w:pPr>
    </w:p>
    <w:p w14:paraId="76C291DA" w14:textId="17AE7D58" w:rsidR="009C0CF1" w:rsidRDefault="001249C7" w:rsidP="00681EC8">
      <w:pPr>
        <w:pStyle w:val="ListParagraph"/>
        <w:numPr>
          <w:ilvl w:val="0"/>
          <w:numId w:val="5"/>
        </w:numPr>
        <w:tabs>
          <w:tab w:val="left" w:pos="274"/>
          <w:tab w:val="left" w:pos="806"/>
          <w:tab w:val="left" w:pos="1440"/>
          <w:tab w:val="left" w:pos="2074"/>
        </w:tabs>
      </w:pPr>
      <w:r>
        <w:t>For items procured from third party dedicating entities, review the related</w:t>
      </w:r>
      <w:r w:rsidR="002876F9">
        <w:t xml:space="preserve"> procurement documents to</w:t>
      </w:r>
      <w:r>
        <w:t xml:space="preserve">: </w:t>
      </w:r>
    </w:p>
    <w:p w14:paraId="7BF2FB61" w14:textId="77777777" w:rsidR="002876F9" w:rsidRDefault="002876F9" w:rsidP="002876F9">
      <w:pPr>
        <w:pStyle w:val="ListParagraph"/>
      </w:pPr>
    </w:p>
    <w:p w14:paraId="2D7BC734" w14:textId="5F67A2DA" w:rsidR="009C0CF1" w:rsidRDefault="00465E8D" w:rsidP="00AE0D03">
      <w:pPr>
        <w:pStyle w:val="ListParagraph"/>
        <w:numPr>
          <w:ilvl w:val="0"/>
          <w:numId w:val="9"/>
        </w:numPr>
        <w:ind w:hanging="490"/>
      </w:pPr>
      <w:r>
        <w:t xml:space="preserve">Verify that the licensee invoked 10 CFR </w:t>
      </w:r>
      <w:r w:rsidR="002876F9">
        <w:t xml:space="preserve">Part </w:t>
      </w:r>
      <w:r>
        <w:t>50 Appendix B and 10 CFR Part 21 requirements on the supplier</w:t>
      </w:r>
      <w:r w:rsidR="00A45538">
        <w:t>.</w:t>
      </w:r>
    </w:p>
    <w:p w14:paraId="542B3B48" w14:textId="1A50E22C" w:rsidR="009C0CF1" w:rsidRDefault="00465E8D" w:rsidP="00AE0D03">
      <w:pPr>
        <w:pStyle w:val="ListParagraph"/>
        <w:numPr>
          <w:ilvl w:val="0"/>
          <w:numId w:val="9"/>
        </w:numPr>
        <w:ind w:hanging="490"/>
      </w:pPr>
      <w:r>
        <w:t>Verify that the supplier is on the Approved Suppliers list with no limitations impacting the required work to de</w:t>
      </w:r>
      <w:r w:rsidR="00A45538">
        <w:t>dicate the item in question.</w:t>
      </w:r>
    </w:p>
    <w:p w14:paraId="6D873E83" w14:textId="1CA7EDA5" w:rsidR="00465E8D" w:rsidRDefault="00465E8D" w:rsidP="00AE0D03">
      <w:pPr>
        <w:pStyle w:val="ListParagraph"/>
        <w:numPr>
          <w:ilvl w:val="0"/>
          <w:numId w:val="9"/>
        </w:numPr>
        <w:ind w:hanging="490"/>
      </w:pPr>
      <w:r>
        <w:t>Verify that the justification for adding the supplier to the Approved Suppliers List includes a valid audit that covers the scope of the dedication activities.</w:t>
      </w:r>
    </w:p>
    <w:p w14:paraId="1AB17565" w14:textId="164514C2" w:rsidR="009C0CF1" w:rsidRPr="00FF0D1C" w:rsidRDefault="009C0CF1" w:rsidP="00491902">
      <w:pPr>
        <w:pStyle w:val="ListParagraph"/>
        <w:ind w:left="1930"/>
      </w:pPr>
    </w:p>
    <w:p w14:paraId="132E56D7" w14:textId="32C57F91" w:rsidR="001249C7" w:rsidRDefault="009C0CF1" w:rsidP="00681EC8">
      <w:pPr>
        <w:pStyle w:val="ListParagraph"/>
        <w:numPr>
          <w:ilvl w:val="0"/>
          <w:numId w:val="5"/>
        </w:numPr>
        <w:tabs>
          <w:tab w:val="left" w:pos="274"/>
          <w:tab w:val="left" w:pos="806"/>
          <w:tab w:val="left" w:pos="1440"/>
          <w:tab w:val="left" w:pos="2074"/>
        </w:tabs>
      </w:pPr>
      <w:r>
        <w:t xml:space="preserve">Verify that </w:t>
      </w:r>
      <w:r w:rsidR="001249C7">
        <w:t xml:space="preserve">there are adequate controls for the acceptance of procured items that </w:t>
      </w:r>
      <w:r w:rsidR="00CC199F">
        <w:t>were dedicated by a third party:</w:t>
      </w:r>
    </w:p>
    <w:p w14:paraId="0115395B" w14:textId="77777777" w:rsidR="001249C7" w:rsidRDefault="001249C7" w:rsidP="001249C7">
      <w:pPr>
        <w:pStyle w:val="ListParagraph"/>
        <w:tabs>
          <w:tab w:val="left" w:pos="274"/>
          <w:tab w:val="left" w:pos="806"/>
          <w:tab w:val="left" w:pos="1440"/>
          <w:tab w:val="left" w:pos="2074"/>
        </w:tabs>
        <w:ind w:left="1080"/>
      </w:pPr>
    </w:p>
    <w:p w14:paraId="1A9AAF8E" w14:textId="46470A07" w:rsidR="001249C7" w:rsidRDefault="00BF3E8C" w:rsidP="00AE0D03">
      <w:pPr>
        <w:pStyle w:val="ListParagraph"/>
        <w:numPr>
          <w:ilvl w:val="0"/>
          <w:numId w:val="9"/>
        </w:numPr>
        <w:ind w:hanging="490"/>
      </w:pPr>
      <w:r>
        <w:t xml:space="preserve">Verify that the </w:t>
      </w:r>
      <w:r w:rsidR="001249C7">
        <w:t>procurement document</w:t>
      </w:r>
      <w:r w:rsidR="002876F9">
        <w:t xml:space="preserve">s specify adequate controls and </w:t>
      </w:r>
      <w:r w:rsidR="001249C7">
        <w:t>acceptance me</w:t>
      </w:r>
      <w:r w:rsidR="00A45538">
        <w:t>thods for the dedicating entity.</w:t>
      </w:r>
    </w:p>
    <w:p w14:paraId="22205E3A" w14:textId="33B6A244" w:rsidR="009C0CF1" w:rsidRDefault="00BF3E8C" w:rsidP="00AE0D03">
      <w:pPr>
        <w:pStyle w:val="ListParagraph"/>
        <w:numPr>
          <w:ilvl w:val="0"/>
          <w:numId w:val="9"/>
        </w:numPr>
        <w:ind w:hanging="490"/>
      </w:pPr>
      <w:r>
        <w:t xml:space="preserve">Verify </w:t>
      </w:r>
      <w:r w:rsidR="001249C7">
        <w:t xml:space="preserve">that </w:t>
      </w:r>
      <w:r>
        <w:t>the</w:t>
      </w:r>
      <w:r w:rsidR="009C0CF1">
        <w:t xml:space="preserve"> </w:t>
      </w:r>
      <w:r w:rsidR="001249C7">
        <w:t xml:space="preserve">proper </w:t>
      </w:r>
      <w:r w:rsidR="009C0CF1">
        <w:t>critical characteristics</w:t>
      </w:r>
      <w:r w:rsidR="00A45538">
        <w:t xml:space="preserve"> are identified.</w:t>
      </w:r>
    </w:p>
    <w:p w14:paraId="3BD85BE6" w14:textId="7B63503A" w:rsidR="001249C7" w:rsidRDefault="001249C7" w:rsidP="00AE0D03">
      <w:pPr>
        <w:pStyle w:val="ListParagraph"/>
        <w:numPr>
          <w:ilvl w:val="0"/>
          <w:numId w:val="9"/>
        </w:numPr>
        <w:ind w:hanging="490"/>
      </w:pPr>
      <w:r>
        <w:t xml:space="preserve">Verify that receipt inspections adequately verify that the acceptance criteria are met for the dedicated </w:t>
      </w:r>
      <w:r w:rsidR="00A45538">
        <w:t>item.</w:t>
      </w:r>
    </w:p>
    <w:p w14:paraId="2F2945FB" w14:textId="2C09A86F" w:rsidR="00BF1504" w:rsidRDefault="001249C7" w:rsidP="00AE0D03">
      <w:pPr>
        <w:pStyle w:val="ListParagraph"/>
        <w:numPr>
          <w:ilvl w:val="0"/>
          <w:numId w:val="9"/>
        </w:numPr>
        <w:ind w:hanging="490"/>
      </w:pPr>
      <w:r>
        <w:t>Verify that any restrictions to the use of the dedicated item are clearly documented upon receipt so that the item is only used in an application that is prescribed in the procurement documents</w:t>
      </w:r>
      <w:r w:rsidR="00A45538">
        <w:t>.</w:t>
      </w:r>
    </w:p>
    <w:p w14:paraId="3ABC32D8" w14:textId="77777777" w:rsidR="00786DDD" w:rsidRDefault="00786DDD" w:rsidP="00AE0D03">
      <w:pPr>
        <w:pStyle w:val="ListParagraph"/>
        <w:ind w:left="1930" w:hanging="490"/>
      </w:pPr>
    </w:p>
    <w:p w14:paraId="01DC4821" w14:textId="77777777" w:rsidR="00732993" w:rsidRDefault="00732993" w:rsidP="00950727"/>
    <w:p w14:paraId="5D6E6D0C" w14:textId="64D05FD8" w:rsidR="00FA6080" w:rsidRPr="00FF6355" w:rsidRDefault="00BE43A2" w:rsidP="00950727">
      <w:r>
        <w:t xml:space="preserve">OpESS </w:t>
      </w:r>
      <w:r w:rsidR="00495C4B">
        <w:t>2019/01</w:t>
      </w:r>
      <w:r w:rsidR="003D4F96" w:rsidRPr="00FF6355">
        <w:t>-0</w:t>
      </w:r>
      <w:r w:rsidR="00732993">
        <w:t>4</w:t>
      </w:r>
      <w:r w:rsidR="003D4F96" w:rsidRPr="00FF6355">
        <w:tab/>
      </w:r>
      <w:r w:rsidR="009376F2" w:rsidRPr="00FF6355">
        <w:t>RE</w:t>
      </w:r>
      <w:r>
        <w:t>FERENCES</w:t>
      </w:r>
    </w:p>
    <w:p w14:paraId="705A4E68" w14:textId="77777777" w:rsidR="00FA6080" w:rsidRDefault="00FA6080" w:rsidP="00950727"/>
    <w:p w14:paraId="64D893DA" w14:textId="4EDF5A46" w:rsidR="00C2090A" w:rsidRDefault="00A77DBD">
      <w:r>
        <w:t>These references may include pre-decisional information contained on NRC internal websites</w:t>
      </w:r>
      <w:r w:rsidRPr="00A64994">
        <w:t>.</w:t>
      </w:r>
      <w:r>
        <w:t xml:space="preserve">  </w:t>
      </w:r>
      <w:r w:rsidRPr="00A64994">
        <w:t>Once the agency has formally evaluated an OpE issu</w:t>
      </w:r>
      <w:r>
        <w:t>e</w:t>
      </w:r>
      <w:r w:rsidRPr="00A64994">
        <w:t xml:space="preserve"> and has determined that it meets the criteria for agency action, the NRC communicates the issue to the public and the industry through one or more </w:t>
      </w:r>
      <w:r>
        <w:t xml:space="preserve">appropriate </w:t>
      </w:r>
      <w:r w:rsidRPr="00A64994">
        <w:t>methods (e.g.</w:t>
      </w:r>
      <w:r>
        <w:t>,</w:t>
      </w:r>
      <w:r w:rsidRPr="00A64994">
        <w:t xml:space="preserve"> generic communication, rulemaking public comment periods, etc.).</w:t>
      </w:r>
      <w:r w:rsidR="00C2090A">
        <w:br w:type="page"/>
      </w:r>
    </w:p>
    <w:p w14:paraId="2751E547" w14:textId="57A0A007" w:rsidR="00CC199F" w:rsidRDefault="00732993" w:rsidP="005D3DD2">
      <w:pPr>
        <w:tabs>
          <w:tab w:val="left" w:pos="810"/>
        </w:tabs>
      </w:pPr>
      <w:r>
        <w:lastRenderedPageBreak/>
        <w:t>04.01</w:t>
      </w:r>
      <w:r w:rsidR="005D3DD2">
        <w:tab/>
      </w:r>
      <w:r w:rsidR="00CC199F" w:rsidRPr="000B50BF">
        <w:rPr>
          <w:u w:val="single"/>
        </w:rPr>
        <w:t>Applicable Regulations</w:t>
      </w:r>
    </w:p>
    <w:p w14:paraId="0835272C" w14:textId="7A2C7C87" w:rsidR="00CC199F" w:rsidRDefault="00CC199F" w:rsidP="00950727"/>
    <w:p w14:paraId="17B23411" w14:textId="3BAF4CB2" w:rsidR="00CC199F" w:rsidRDefault="00D11275" w:rsidP="00950727">
      <w:hyperlink r:id="rId11" w:history="1">
        <w:r w:rsidR="00CC199F" w:rsidRPr="00EA58F1">
          <w:rPr>
            <w:rStyle w:val="Hyperlink"/>
          </w:rPr>
          <w:t xml:space="preserve">10 CFR </w:t>
        </w:r>
        <w:r w:rsidR="005D3DD2">
          <w:rPr>
            <w:rStyle w:val="Hyperlink"/>
          </w:rPr>
          <w:t xml:space="preserve">Part </w:t>
        </w:r>
        <w:r w:rsidR="00CC199F" w:rsidRPr="00EA58F1">
          <w:rPr>
            <w:rStyle w:val="Hyperlink"/>
          </w:rPr>
          <w:t>21</w:t>
        </w:r>
      </w:hyperlink>
      <w:r w:rsidR="00CC199F">
        <w:t>, “</w:t>
      </w:r>
      <w:r w:rsidR="00EA58F1">
        <w:rPr>
          <w:lang w:val="en"/>
        </w:rPr>
        <w:t>Reporting of Defects a</w:t>
      </w:r>
      <w:r w:rsidR="00EA58F1" w:rsidRPr="00EA58F1">
        <w:rPr>
          <w:lang w:val="en"/>
        </w:rPr>
        <w:t>nd Noncompliance</w:t>
      </w:r>
      <w:r w:rsidR="00EA58F1">
        <w:rPr>
          <w:lang w:val="en"/>
        </w:rPr>
        <w:t>”</w:t>
      </w:r>
    </w:p>
    <w:p w14:paraId="46FE0779" w14:textId="1A71897F" w:rsidR="00CC199F" w:rsidRDefault="00CC199F" w:rsidP="00950727"/>
    <w:p w14:paraId="69AD91FF" w14:textId="678C3C20" w:rsidR="00C2090A" w:rsidRDefault="00D11275" w:rsidP="00950727">
      <w:pPr>
        <w:rPr>
          <w:lang w:val="en"/>
        </w:rPr>
      </w:pPr>
      <w:hyperlink r:id="rId12" w:history="1">
        <w:r w:rsidR="00CC199F" w:rsidRPr="00CC199F">
          <w:rPr>
            <w:rStyle w:val="Hyperlink"/>
          </w:rPr>
          <w:t xml:space="preserve">10 CFR </w:t>
        </w:r>
        <w:r w:rsidR="005D3DD2">
          <w:rPr>
            <w:rStyle w:val="Hyperlink"/>
          </w:rPr>
          <w:t xml:space="preserve">Part </w:t>
        </w:r>
        <w:r w:rsidR="00CC199F" w:rsidRPr="00CC199F">
          <w:rPr>
            <w:rStyle w:val="Hyperlink"/>
          </w:rPr>
          <w:t>50, Appendix B</w:t>
        </w:r>
      </w:hyperlink>
      <w:r w:rsidR="00CC199F">
        <w:t>, “</w:t>
      </w:r>
      <w:r w:rsidR="00CC199F" w:rsidRPr="00CC199F">
        <w:rPr>
          <w:lang w:val="en"/>
        </w:rPr>
        <w:t>Quality Assurance Criteria for Nuclear Power Plants and Fuel Reprocessing Plants</w:t>
      </w:r>
      <w:r w:rsidR="00CC199F">
        <w:rPr>
          <w:lang w:val="en"/>
        </w:rPr>
        <w:t>”</w:t>
      </w:r>
    </w:p>
    <w:p w14:paraId="636A3D6A" w14:textId="77777777" w:rsidR="00C2090A" w:rsidRDefault="00C2090A" w:rsidP="00950727">
      <w:pPr>
        <w:rPr>
          <w:lang w:val="en"/>
        </w:rPr>
      </w:pPr>
    </w:p>
    <w:p w14:paraId="0A240700" w14:textId="23185A42" w:rsidR="00732993" w:rsidRDefault="004A6297" w:rsidP="004A6297">
      <w:pPr>
        <w:tabs>
          <w:tab w:val="left" w:pos="810"/>
        </w:tabs>
      </w:pPr>
      <w:r>
        <w:t>04.02</w:t>
      </w:r>
      <w:r>
        <w:tab/>
      </w:r>
      <w:r w:rsidR="00732993" w:rsidRPr="000B50BF">
        <w:rPr>
          <w:u w:val="single"/>
        </w:rPr>
        <w:t>Inspection Manual Chapters and Procedures</w:t>
      </w:r>
    </w:p>
    <w:p w14:paraId="18724F20" w14:textId="77777777" w:rsidR="00732993" w:rsidRDefault="00732993" w:rsidP="00950727"/>
    <w:p w14:paraId="0F1F72C8" w14:textId="24B6846F" w:rsidR="009C0CF1" w:rsidRDefault="00CB4DCA" w:rsidP="00EC7776">
      <w:pPr>
        <w:tabs>
          <w:tab w:val="left" w:pos="270"/>
          <w:tab w:val="left" w:pos="810"/>
          <w:tab w:val="left" w:pos="1440"/>
          <w:tab w:val="left" w:pos="2070"/>
        </w:tabs>
      </w:pPr>
      <w:r>
        <w:rPr>
          <w:rStyle w:val="Hyperlink"/>
        </w:rPr>
        <w:t xml:space="preserve">IP </w:t>
      </w:r>
      <w:hyperlink r:id="rId13" w:history="1">
        <w:r w:rsidR="009C0CF1" w:rsidRPr="005F7FC2">
          <w:rPr>
            <w:rStyle w:val="Hyperlink"/>
          </w:rPr>
          <w:t>43004</w:t>
        </w:r>
      </w:hyperlink>
      <w:r w:rsidR="009C0CF1">
        <w:t>, “Inspection of Commercial-Grade Dedication Programs”</w:t>
      </w:r>
    </w:p>
    <w:p w14:paraId="44832E09" w14:textId="77777777" w:rsidR="009C0CF1" w:rsidRDefault="009C0CF1" w:rsidP="00EC7776">
      <w:pPr>
        <w:pStyle w:val="ListParagraph"/>
        <w:tabs>
          <w:tab w:val="left" w:pos="270"/>
          <w:tab w:val="left" w:pos="810"/>
          <w:tab w:val="left" w:pos="1440"/>
          <w:tab w:val="left" w:pos="2070"/>
        </w:tabs>
        <w:ind w:left="540"/>
      </w:pPr>
    </w:p>
    <w:p w14:paraId="7789DEC4" w14:textId="09034CE0" w:rsidR="009C0CF1" w:rsidRDefault="00CB4DCA" w:rsidP="00EC7776">
      <w:pPr>
        <w:tabs>
          <w:tab w:val="left" w:pos="270"/>
          <w:tab w:val="left" w:pos="810"/>
          <w:tab w:val="left" w:pos="1440"/>
          <w:tab w:val="left" w:pos="2070"/>
        </w:tabs>
      </w:pPr>
      <w:r>
        <w:rPr>
          <w:rStyle w:val="Hyperlink"/>
        </w:rPr>
        <w:t xml:space="preserve">IP </w:t>
      </w:r>
      <w:hyperlink r:id="rId14" w:history="1">
        <w:r w:rsidR="009C0CF1" w:rsidRPr="001456D6">
          <w:rPr>
            <w:rStyle w:val="Hyperlink"/>
          </w:rPr>
          <w:t>71111.12</w:t>
        </w:r>
      </w:hyperlink>
      <w:r w:rsidR="009C0CF1">
        <w:t>, “Maintenance Effectiveness”</w:t>
      </w:r>
    </w:p>
    <w:p w14:paraId="7F33FAB0" w14:textId="77777777" w:rsidR="009C0CF1" w:rsidRDefault="009C0CF1" w:rsidP="00EC7776">
      <w:pPr>
        <w:tabs>
          <w:tab w:val="left" w:pos="270"/>
          <w:tab w:val="left" w:pos="810"/>
          <w:tab w:val="left" w:pos="1440"/>
          <w:tab w:val="left" w:pos="2070"/>
        </w:tabs>
      </w:pPr>
    </w:p>
    <w:p w14:paraId="08252AF3" w14:textId="5EA8E9D7" w:rsidR="009C0CF1" w:rsidRDefault="00CB4DCA" w:rsidP="00EC7776">
      <w:pPr>
        <w:tabs>
          <w:tab w:val="left" w:pos="270"/>
          <w:tab w:val="left" w:pos="810"/>
          <w:tab w:val="left" w:pos="1440"/>
          <w:tab w:val="left" w:pos="2070"/>
        </w:tabs>
      </w:pPr>
      <w:r>
        <w:rPr>
          <w:rStyle w:val="Hyperlink"/>
        </w:rPr>
        <w:t xml:space="preserve">IP </w:t>
      </w:r>
      <w:hyperlink r:id="rId15" w:history="1">
        <w:r w:rsidR="009C0CF1" w:rsidRPr="001456D6">
          <w:rPr>
            <w:rStyle w:val="Hyperlink"/>
          </w:rPr>
          <w:t>71111.18</w:t>
        </w:r>
      </w:hyperlink>
      <w:r w:rsidR="009C0CF1">
        <w:t>, “Plant Modifications”</w:t>
      </w:r>
    </w:p>
    <w:p w14:paraId="14ED6D3E" w14:textId="77777777" w:rsidR="009C0CF1" w:rsidRDefault="009C0CF1" w:rsidP="00EC7776">
      <w:pPr>
        <w:pStyle w:val="ListParagraph"/>
        <w:ind w:left="444"/>
      </w:pPr>
    </w:p>
    <w:p w14:paraId="7384A981" w14:textId="111FCD5A" w:rsidR="009C0CF1" w:rsidRDefault="00CB4DCA" w:rsidP="00EC7776">
      <w:pPr>
        <w:tabs>
          <w:tab w:val="left" w:pos="270"/>
          <w:tab w:val="left" w:pos="810"/>
          <w:tab w:val="left" w:pos="1440"/>
          <w:tab w:val="left" w:pos="2070"/>
        </w:tabs>
      </w:pPr>
      <w:r>
        <w:rPr>
          <w:rStyle w:val="Hyperlink"/>
        </w:rPr>
        <w:t xml:space="preserve">IP </w:t>
      </w:r>
      <w:hyperlink r:id="rId16" w:history="1">
        <w:r w:rsidR="009C0CF1" w:rsidRPr="001456D6">
          <w:rPr>
            <w:rStyle w:val="Hyperlink"/>
          </w:rPr>
          <w:t>71111.21M</w:t>
        </w:r>
      </w:hyperlink>
      <w:r w:rsidR="009C0CF1">
        <w:t>, “Design Basis Assurance Inspection (Teams)”</w:t>
      </w:r>
    </w:p>
    <w:p w14:paraId="4367ACBA" w14:textId="77777777" w:rsidR="009C0CF1" w:rsidRDefault="009C0CF1" w:rsidP="00EC7776">
      <w:pPr>
        <w:pStyle w:val="ListParagraph"/>
        <w:ind w:left="444"/>
      </w:pPr>
    </w:p>
    <w:p w14:paraId="7B5A46F0" w14:textId="0C15ACEC" w:rsidR="009C0CF1" w:rsidRDefault="00CB4DCA" w:rsidP="00EC7776">
      <w:pPr>
        <w:tabs>
          <w:tab w:val="left" w:pos="270"/>
          <w:tab w:val="left" w:pos="810"/>
          <w:tab w:val="left" w:pos="1440"/>
          <w:tab w:val="left" w:pos="2070"/>
        </w:tabs>
      </w:pPr>
      <w:r>
        <w:rPr>
          <w:rStyle w:val="Hyperlink"/>
        </w:rPr>
        <w:t xml:space="preserve">IP </w:t>
      </w:r>
      <w:hyperlink r:id="rId17" w:history="1">
        <w:r w:rsidR="009C0CF1" w:rsidRPr="001456D6">
          <w:rPr>
            <w:rStyle w:val="Hyperlink"/>
          </w:rPr>
          <w:t>71111.21N</w:t>
        </w:r>
      </w:hyperlink>
      <w:r w:rsidR="009C0CF1">
        <w:t>, “Design Basis Assurance Inspection (Program)”</w:t>
      </w:r>
    </w:p>
    <w:p w14:paraId="6386AB31" w14:textId="77777777" w:rsidR="00AA2897" w:rsidRDefault="00AA2897" w:rsidP="00AA2897">
      <w:pPr>
        <w:tabs>
          <w:tab w:val="left" w:pos="270"/>
          <w:tab w:val="left" w:pos="810"/>
          <w:tab w:val="left" w:pos="1440"/>
          <w:tab w:val="left" w:pos="2070"/>
        </w:tabs>
        <w:ind w:left="810" w:hanging="810"/>
      </w:pPr>
    </w:p>
    <w:p w14:paraId="2CE836AF" w14:textId="1D7AD616" w:rsidR="00AA2897" w:rsidRDefault="00EA58F1" w:rsidP="004A6297">
      <w:pPr>
        <w:tabs>
          <w:tab w:val="left" w:pos="270"/>
          <w:tab w:val="left" w:pos="810"/>
          <w:tab w:val="left" w:pos="1440"/>
          <w:tab w:val="left" w:pos="2070"/>
        </w:tabs>
        <w:ind w:left="810" w:hanging="810"/>
      </w:pPr>
      <w:r>
        <w:t>04.03</w:t>
      </w:r>
      <w:r w:rsidR="004A6297">
        <w:tab/>
      </w:r>
      <w:r w:rsidR="00EC7776" w:rsidRPr="000B50BF">
        <w:rPr>
          <w:u w:val="single"/>
        </w:rPr>
        <w:t>NRC Generic Communications</w:t>
      </w:r>
    </w:p>
    <w:p w14:paraId="392DD9FB" w14:textId="77777777" w:rsidR="00732993" w:rsidRDefault="00732993" w:rsidP="00547740">
      <w:pPr>
        <w:tabs>
          <w:tab w:val="left" w:pos="810"/>
        </w:tabs>
      </w:pPr>
    </w:p>
    <w:p w14:paraId="28FC9B79" w14:textId="77777777" w:rsidR="00EC7776" w:rsidRDefault="00D11275" w:rsidP="00EC7776">
      <w:pPr>
        <w:tabs>
          <w:tab w:val="left" w:pos="270"/>
          <w:tab w:val="left" w:pos="810"/>
          <w:tab w:val="left" w:pos="1440"/>
          <w:tab w:val="left" w:pos="2070"/>
        </w:tabs>
      </w:pPr>
      <w:hyperlink r:id="rId18" w:history="1">
        <w:r w:rsidR="00EC7776" w:rsidRPr="00BC3ECD">
          <w:rPr>
            <w:rStyle w:val="Hyperlink"/>
          </w:rPr>
          <w:t>Generic Letter 1989-02</w:t>
        </w:r>
      </w:hyperlink>
      <w:r w:rsidR="00EC7776" w:rsidRPr="00126F61">
        <w:t>, “</w:t>
      </w:r>
      <w:r w:rsidR="00EC7776">
        <w:t>Actions to Improve the Detection of Counterfeit and Fraudulently Marketed Products</w:t>
      </w:r>
      <w:r w:rsidR="00EC7776" w:rsidRPr="00126F61">
        <w:t>”</w:t>
      </w:r>
    </w:p>
    <w:p w14:paraId="7DE5379C" w14:textId="77777777" w:rsidR="00EC7776" w:rsidRDefault="00EC7776" w:rsidP="00EC7776">
      <w:pPr>
        <w:pStyle w:val="ListParagraph"/>
        <w:tabs>
          <w:tab w:val="left" w:pos="270"/>
          <w:tab w:val="left" w:pos="810"/>
          <w:tab w:val="left" w:pos="1440"/>
          <w:tab w:val="left" w:pos="2070"/>
        </w:tabs>
        <w:ind w:left="540"/>
      </w:pPr>
    </w:p>
    <w:p w14:paraId="5D9366E3" w14:textId="77777777" w:rsidR="00EC7776" w:rsidRDefault="00D11275" w:rsidP="00EC7776">
      <w:pPr>
        <w:tabs>
          <w:tab w:val="left" w:pos="270"/>
          <w:tab w:val="left" w:pos="810"/>
          <w:tab w:val="left" w:pos="1440"/>
          <w:tab w:val="left" w:pos="2070"/>
        </w:tabs>
      </w:pPr>
      <w:hyperlink r:id="rId19" w:history="1">
        <w:r w:rsidR="00EC7776" w:rsidRPr="00BC3ECD">
          <w:rPr>
            <w:rStyle w:val="Hyperlink"/>
          </w:rPr>
          <w:t>Generic Letter 1991-05</w:t>
        </w:r>
      </w:hyperlink>
      <w:r w:rsidR="00EC7776" w:rsidRPr="00126F61">
        <w:t>, “Licensee Commercial-Grade Procurement and Dedication Programs”</w:t>
      </w:r>
    </w:p>
    <w:p w14:paraId="7ADEFF2F" w14:textId="77777777" w:rsidR="00EC7776" w:rsidRPr="00126F61" w:rsidRDefault="00EC7776" w:rsidP="00EC7776">
      <w:pPr>
        <w:pStyle w:val="ListParagraph"/>
        <w:tabs>
          <w:tab w:val="left" w:pos="270"/>
          <w:tab w:val="left" w:pos="810"/>
          <w:tab w:val="left" w:pos="1440"/>
          <w:tab w:val="left" w:pos="2070"/>
        </w:tabs>
        <w:ind w:left="540"/>
      </w:pPr>
    </w:p>
    <w:p w14:paraId="57F09D6B" w14:textId="77777777" w:rsidR="00EC7776" w:rsidRDefault="00D11275" w:rsidP="00EC7776">
      <w:pPr>
        <w:tabs>
          <w:tab w:val="left" w:pos="270"/>
          <w:tab w:val="left" w:pos="810"/>
          <w:tab w:val="left" w:pos="1440"/>
          <w:tab w:val="left" w:pos="2070"/>
        </w:tabs>
      </w:pPr>
      <w:hyperlink r:id="rId20" w:history="1">
        <w:r w:rsidR="00EC7776" w:rsidRPr="00BC3ECD">
          <w:rPr>
            <w:rStyle w:val="Hyperlink"/>
          </w:rPr>
          <w:t>Information Notice 2016-01</w:t>
        </w:r>
      </w:hyperlink>
      <w:r w:rsidR="00EC7776">
        <w:t>, “Recent Issues Related to the Commercial Grade Dedication of Allen Bradley 700-RTC Relays”</w:t>
      </w:r>
    </w:p>
    <w:p w14:paraId="44D3E8B7" w14:textId="77777777" w:rsidR="00EC7776" w:rsidRDefault="00EC7776" w:rsidP="00EC7776">
      <w:pPr>
        <w:pStyle w:val="ListParagraph"/>
        <w:ind w:left="444"/>
      </w:pPr>
    </w:p>
    <w:p w14:paraId="10937BF7" w14:textId="77777777" w:rsidR="00EC7776" w:rsidRDefault="00D11275" w:rsidP="00EC7776">
      <w:pPr>
        <w:tabs>
          <w:tab w:val="left" w:pos="270"/>
          <w:tab w:val="left" w:pos="810"/>
          <w:tab w:val="left" w:pos="1440"/>
          <w:tab w:val="left" w:pos="2070"/>
        </w:tabs>
      </w:pPr>
      <w:hyperlink r:id="rId21" w:history="1">
        <w:r w:rsidR="00EC7776" w:rsidRPr="00BC3ECD">
          <w:rPr>
            <w:rStyle w:val="Hyperlink"/>
          </w:rPr>
          <w:t>Information Notice 2016-09</w:t>
        </w:r>
      </w:hyperlink>
      <w:r w:rsidR="00EC7776">
        <w:t>, “Recent Issues Identified When Using Reverse Engineering Techniques in the Procurement of Safety-Related Components”</w:t>
      </w:r>
    </w:p>
    <w:p w14:paraId="05077126" w14:textId="77777777" w:rsidR="00EC7776" w:rsidRDefault="00EC7776" w:rsidP="00EC7776">
      <w:pPr>
        <w:pStyle w:val="ListParagraph"/>
        <w:ind w:left="444"/>
      </w:pPr>
    </w:p>
    <w:p w14:paraId="098C7E0C" w14:textId="77777777" w:rsidR="00EC7776" w:rsidRDefault="00D11275" w:rsidP="00EC7776">
      <w:pPr>
        <w:tabs>
          <w:tab w:val="left" w:pos="270"/>
          <w:tab w:val="left" w:pos="810"/>
          <w:tab w:val="left" w:pos="1440"/>
          <w:tab w:val="left" w:pos="2070"/>
        </w:tabs>
      </w:pPr>
      <w:hyperlink r:id="rId22" w:history="1">
        <w:r w:rsidR="00EC7776" w:rsidRPr="0017079A">
          <w:rPr>
            <w:rStyle w:val="Hyperlink"/>
          </w:rPr>
          <w:t>Information Notice 2017-05</w:t>
        </w:r>
      </w:hyperlink>
      <w:r w:rsidR="00EC7776">
        <w:t>, Revision 1, “Potential Binding of Schneider Electric/Square-D Masterpact NT and NW 480-VAC Circuit Breaker Anti-Pump Feature”</w:t>
      </w:r>
    </w:p>
    <w:p w14:paraId="6DCC5185" w14:textId="77777777" w:rsidR="00EC7776" w:rsidRDefault="00EC7776" w:rsidP="00EC7776">
      <w:pPr>
        <w:pStyle w:val="ListParagraph"/>
        <w:tabs>
          <w:tab w:val="left" w:pos="270"/>
          <w:tab w:val="left" w:pos="810"/>
          <w:tab w:val="left" w:pos="1440"/>
          <w:tab w:val="left" w:pos="2070"/>
        </w:tabs>
        <w:ind w:left="540"/>
      </w:pPr>
    </w:p>
    <w:p w14:paraId="5260603D" w14:textId="77777777" w:rsidR="00EC7776" w:rsidRDefault="00D11275" w:rsidP="00EC7776">
      <w:pPr>
        <w:tabs>
          <w:tab w:val="left" w:pos="270"/>
          <w:tab w:val="left" w:pos="810"/>
          <w:tab w:val="left" w:pos="1440"/>
          <w:tab w:val="left" w:pos="2070"/>
        </w:tabs>
      </w:pPr>
      <w:hyperlink r:id="rId23" w:history="1">
        <w:r w:rsidR="00EC7776" w:rsidRPr="00BC3ECD">
          <w:rPr>
            <w:rStyle w:val="Hyperlink"/>
          </w:rPr>
          <w:t>Information Notice 2011-01</w:t>
        </w:r>
      </w:hyperlink>
      <w:r w:rsidR="00EC7776">
        <w:t>, “Commercial-Grade Dedication Issues Identified During NRC Inspections”</w:t>
      </w:r>
    </w:p>
    <w:p w14:paraId="5658E6FD" w14:textId="77777777" w:rsidR="00EC7776" w:rsidRDefault="00EC7776" w:rsidP="00EC7776">
      <w:pPr>
        <w:tabs>
          <w:tab w:val="left" w:pos="270"/>
          <w:tab w:val="left" w:pos="810"/>
          <w:tab w:val="left" w:pos="1440"/>
          <w:tab w:val="left" w:pos="2070"/>
        </w:tabs>
      </w:pPr>
    </w:p>
    <w:p w14:paraId="2BA26828" w14:textId="77777777" w:rsidR="00EC7776" w:rsidRDefault="00D11275" w:rsidP="00EC7776">
      <w:pPr>
        <w:tabs>
          <w:tab w:val="left" w:pos="270"/>
          <w:tab w:val="left" w:pos="810"/>
          <w:tab w:val="left" w:pos="1440"/>
          <w:tab w:val="left" w:pos="2070"/>
        </w:tabs>
      </w:pPr>
      <w:hyperlink r:id="rId24" w:history="1">
        <w:r w:rsidR="00EC7776" w:rsidRPr="00BC3ECD">
          <w:rPr>
            <w:rStyle w:val="Hyperlink"/>
          </w:rPr>
          <w:t>Information Notice 1996-40</w:t>
        </w:r>
      </w:hyperlink>
      <w:r w:rsidR="00EC7776">
        <w:t xml:space="preserve">, “Deficiencies in Material Dedication and Procurement Practices and in Audits of Vendors,” and </w:t>
      </w:r>
      <w:hyperlink r:id="rId25" w:history="1">
        <w:r w:rsidR="00EC7776" w:rsidRPr="00BC3ECD">
          <w:rPr>
            <w:rStyle w:val="Hyperlink"/>
          </w:rPr>
          <w:t>Supplement 1</w:t>
        </w:r>
      </w:hyperlink>
    </w:p>
    <w:p w14:paraId="10827DC2" w14:textId="77777777" w:rsidR="00EC7776" w:rsidRDefault="00EC7776" w:rsidP="00EC7776">
      <w:pPr>
        <w:tabs>
          <w:tab w:val="left" w:pos="270"/>
          <w:tab w:val="left" w:pos="810"/>
          <w:tab w:val="left" w:pos="1440"/>
          <w:tab w:val="left" w:pos="2070"/>
        </w:tabs>
      </w:pPr>
    </w:p>
    <w:p w14:paraId="791F29EE" w14:textId="77777777" w:rsidR="00EC7776" w:rsidRDefault="00D11275" w:rsidP="00EC7776">
      <w:pPr>
        <w:tabs>
          <w:tab w:val="left" w:pos="270"/>
          <w:tab w:val="left" w:pos="810"/>
          <w:tab w:val="left" w:pos="1440"/>
          <w:tab w:val="left" w:pos="2070"/>
        </w:tabs>
      </w:pPr>
      <w:hyperlink r:id="rId26" w:history="1">
        <w:r w:rsidR="00EC7776" w:rsidRPr="00BC3ECD">
          <w:rPr>
            <w:rStyle w:val="Hyperlink"/>
          </w:rPr>
          <w:t>Information Notice 2014-11</w:t>
        </w:r>
      </w:hyperlink>
      <w:r w:rsidR="00EC7776">
        <w:t>, “Recent Issues Related to the Qualification and Commercial Grade Dedication of Safety-Related Components”</w:t>
      </w:r>
    </w:p>
    <w:p w14:paraId="3B9880FA" w14:textId="77777777" w:rsidR="00EC7776" w:rsidRDefault="00EC7776" w:rsidP="00EC7776">
      <w:pPr>
        <w:tabs>
          <w:tab w:val="left" w:pos="270"/>
          <w:tab w:val="left" w:pos="810"/>
          <w:tab w:val="left" w:pos="1440"/>
          <w:tab w:val="left" w:pos="2070"/>
        </w:tabs>
      </w:pPr>
    </w:p>
    <w:p w14:paraId="6498D7DA" w14:textId="77777777" w:rsidR="00EC7776" w:rsidRDefault="00D11275" w:rsidP="00EC7776">
      <w:pPr>
        <w:tabs>
          <w:tab w:val="left" w:pos="270"/>
          <w:tab w:val="left" w:pos="810"/>
          <w:tab w:val="left" w:pos="1440"/>
          <w:tab w:val="left" w:pos="2070"/>
        </w:tabs>
      </w:pPr>
      <w:hyperlink r:id="rId27" w:history="1">
        <w:r w:rsidR="00EC7776" w:rsidRPr="00BC3ECD">
          <w:rPr>
            <w:rStyle w:val="Hyperlink"/>
          </w:rPr>
          <w:t>Information Notice 1991-25</w:t>
        </w:r>
      </w:hyperlink>
      <w:r w:rsidR="00EC7776">
        <w:t>, “Commercial-Grade Structural Framing Components Supplied as Nuclear Safety-Related Equipment”</w:t>
      </w:r>
    </w:p>
    <w:p w14:paraId="569DA8A6" w14:textId="77777777" w:rsidR="00EC7776" w:rsidRDefault="00EC7776" w:rsidP="00EC7776">
      <w:pPr>
        <w:pStyle w:val="ListParagraph"/>
        <w:ind w:left="444"/>
      </w:pPr>
    </w:p>
    <w:p w14:paraId="795BDC11" w14:textId="77777777" w:rsidR="00EC7776" w:rsidRDefault="00D11275" w:rsidP="00EC7776">
      <w:pPr>
        <w:tabs>
          <w:tab w:val="left" w:pos="270"/>
          <w:tab w:val="left" w:pos="810"/>
          <w:tab w:val="left" w:pos="1440"/>
          <w:tab w:val="left" w:pos="2070"/>
        </w:tabs>
      </w:pPr>
      <w:hyperlink r:id="rId28" w:history="1">
        <w:r w:rsidR="00EC7776" w:rsidRPr="00BC3ECD">
          <w:rPr>
            <w:rStyle w:val="Hyperlink"/>
          </w:rPr>
          <w:t>Information Notice 1987-66</w:t>
        </w:r>
      </w:hyperlink>
      <w:r w:rsidR="00EC7776">
        <w:t>, “Inappropriate Application of Commercial-Grade Components”</w:t>
      </w:r>
    </w:p>
    <w:p w14:paraId="54166A5E" w14:textId="77777777" w:rsidR="00EC7776" w:rsidRDefault="00EC7776" w:rsidP="00EC7776">
      <w:pPr>
        <w:pStyle w:val="ListParagraph"/>
        <w:ind w:left="444"/>
      </w:pPr>
    </w:p>
    <w:p w14:paraId="7AFB6B17" w14:textId="77777777" w:rsidR="00EC7776" w:rsidRPr="00126F61" w:rsidRDefault="00D11275" w:rsidP="00EC7776">
      <w:pPr>
        <w:tabs>
          <w:tab w:val="left" w:pos="270"/>
          <w:tab w:val="left" w:pos="810"/>
          <w:tab w:val="left" w:pos="1440"/>
          <w:tab w:val="left" w:pos="2070"/>
        </w:tabs>
      </w:pPr>
      <w:hyperlink r:id="rId29" w:history="1">
        <w:r w:rsidR="00EC7776" w:rsidRPr="00BC3ECD">
          <w:rPr>
            <w:rStyle w:val="Hyperlink"/>
          </w:rPr>
          <w:t>Information Notice 1992-68</w:t>
        </w:r>
      </w:hyperlink>
      <w:r w:rsidR="00EC7776">
        <w:t xml:space="preserve">, “Potentially Substandard Slip-on, Welding Neck, and Blind Flanges,” and </w:t>
      </w:r>
      <w:hyperlink r:id="rId30" w:history="1">
        <w:r w:rsidR="00EC7776" w:rsidRPr="00BC3ECD">
          <w:rPr>
            <w:rStyle w:val="Hyperlink"/>
          </w:rPr>
          <w:t>Supplement 1</w:t>
        </w:r>
      </w:hyperlink>
    </w:p>
    <w:p w14:paraId="1067EDE1" w14:textId="1F5EE1DF" w:rsidR="00EC7776" w:rsidRPr="000B50BF" w:rsidRDefault="00EC7776" w:rsidP="005D3DD2">
      <w:pPr>
        <w:tabs>
          <w:tab w:val="left" w:pos="270"/>
          <w:tab w:val="left" w:pos="810"/>
          <w:tab w:val="left" w:pos="1440"/>
          <w:tab w:val="left" w:pos="2070"/>
        </w:tabs>
        <w:ind w:left="810" w:hanging="810"/>
        <w:rPr>
          <w:u w:val="single"/>
        </w:rPr>
      </w:pPr>
      <w:r>
        <w:lastRenderedPageBreak/>
        <w:t>0</w:t>
      </w:r>
      <w:r w:rsidR="005D3DD2">
        <w:t>4.04</w:t>
      </w:r>
      <w:r w:rsidR="005D3DD2">
        <w:tab/>
      </w:r>
      <w:r w:rsidRPr="000B50BF">
        <w:rPr>
          <w:u w:val="single"/>
        </w:rPr>
        <w:t>Examples of previous inspection findings</w:t>
      </w:r>
    </w:p>
    <w:p w14:paraId="0B53EFE0" w14:textId="77777777" w:rsidR="00EC7776" w:rsidRPr="000B50BF" w:rsidRDefault="00EC7776" w:rsidP="00EC7776">
      <w:pPr>
        <w:tabs>
          <w:tab w:val="left" w:pos="270"/>
          <w:tab w:val="left" w:pos="810"/>
          <w:tab w:val="left" w:pos="1440"/>
          <w:tab w:val="left" w:pos="2070"/>
        </w:tabs>
        <w:ind w:left="810" w:hanging="810"/>
        <w:rPr>
          <w:u w:val="single"/>
        </w:rPr>
      </w:pPr>
    </w:p>
    <w:p w14:paraId="5704D23F" w14:textId="172E5097" w:rsidR="00EC7776" w:rsidRPr="00EC7776" w:rsidRDefault="00D11275" w:rsidP="00EC7776">
      <w:pPr>
        <w:shd w:val="clear" w:color="auto" w:fill="FFFFFF"/>
        <w:tabs>
          <w:tab w:val="left" w:pos="270"/>
          <w:tab w:val="left" w:pos="810"/>
          <w:tab w:val="left" w:pos="1440"/>
          <w:tab w:val="left" w:pos="2070"/>
        </w:tabs>
        <w:rPr>
          <w:rFonts w:cs="Arial"/>
          <w:color w:val="000000" w:themeColor="text1"/>
          <w:szCs w:val="22"/>
        </w:rPr>
      </w:pPr>
      <w:hyperlink r:id="rId31" w:history="1">
        <w:r w:rsidR="00EC7776" w:rsidRPr="00EC7776">
          <w:rPr>
            <w:rStyle w:val="Hyperlink"/>
            <w:rFonts w:cs="Arial"/>
            <w:bCs/>
            <w:szCs w:val="22"/>
          </w:rPr>
          <w:t>Clinton</w:t>
        </w:r>
      </w:hyperlink>
      <w:r w:rsidR="00EC7776" w:rsidRPr="00EC7776">
        <w:rPr>
          <w:rFonts w:cs="Arial"/>
          <w:bCs/>
          <w:color w:val="000000" w:themeColor="text1"/>
          <w:szCs w:val="22"/>
        </w:rPr>
        <w:t xml:space="preserve"> – </w:t>
      </w:r>
      <w:r w:rsidR="00EC7776" w:rsidRPr="00590E02">
        <w:t xml:space="preserve">In March 2017, the licensee discovered that a time delay relay in the Division 1 </w:t>
      </w:r>
      <w:r w:rsidR="00EC7776">
        <w:t>emergency diesel generator (</w:t>
      </w:r>
      <w:r w:rsidR="00EC7776" w:rsidRPr="00590E02">
        <w:t>EDG</w:t>
      </w:r>
      <w:r w:rsidR="00EC7776">
        <w:t>)</w:t>
      </w:r>
      <w:r w:rsidR="00EC7776" w:rsidRPr="00590E02">
        <w:t xml:space="preserve"> room vent fan was cycling, </w:t>
      </w:r>
      <w:r w:rsidR="00EC7776">
        <w:t>which would have prevent</w:t>
      </w:r>
      <w:r w:rsidR="0075413F">
        <w:t>ed</w:t>
      </w:r>
      <w:r w:rsidR="00EC7776">
        <w:t xml:space="preserve"> the fan from starting if required.  </w:t>
      </w:r>
      <w:r w:rsidR="00EC7776" w:rsidRPr="00590E02">
        <w:t xml:space="preserve">The licensee had implemented a design change in 2008 to replace obsolete relays but did not consider differences in the drop out voltages of the </w:t>
      </w:r>
      <w:r w:rsidR="00EC7776">
        <w:t xml:space="preserve">replacement </w:t>
      </w:r>
      <w:r w:rsidR="00EC7776" w:rsidRPr="00590E02">
        <w:t>relays. The design change that replaced the relays used an equivalency evaluation to determine the acceptability of the new relays but failed to consider the suitability of the relays for load shed and re-sequencing of the EDG Room vent fan.</w:t>
      </w:r>
      <w:r w:rsidR="00AC59EE">
        <w:t xml:space="preserve"> </w:t>
      </w:r>
      <w:r w:rsidR="00EC7776">
        <w:t xml:space="preserve"> In the equivalency evaluation, the licensee justified using the new relay simply because it had been used to replace the obsolete relay in another application. This resulted in a White finding and associated violation of Title 10 of the Code of Federal Regulations (10 CFR) Part 50, Appendix B, Criterion III, “Design Control.”</w:t>
      </w:r>
      <w:r w:rsidR="00791D6A">
        <w:t xml:space="preserve"> Additional information is available in NRC Inspection Report 05000461/2017009, available at ADAMS Accession Number ML17226A321.</w:t>
      </w:r>
    </w:p>
    <w:p w14:paraId="6F028CDB" w14:textId="77777777" w:rsidR="00EC7776" w:rsidRPr="00DA1049" w:rsidRDefault="00EC7776" w:rsidP="00EC7776">
      <w:pPr>
        <w:pStyle w:val="ListParagraph"/>
        <w:shd w:val="clear" w:color="auto" w:fill="FFFFFF"/>
        <w:tabs>
          <w:tab w:val="left" w:pos="270"/>
          <w:tab w:val="left" w:pos="810"/>
          <w:tab w:val="left" w:pos="1440"/>
          <w:tab w:val="left" w:pos="2070"/>
        </w:tabs>
        <w:ind w:left="547"/>
        <w:rPr>
          <w:rFonts w:cs="Arial"/>
          <w:color w:val="000000" w:themeColor="text1"/>
          <w:szCs w:val="22"/>
        </w:rPr>
      </w:pPr>
    </w:p>
    <w:p w14:paraId="4FE2A2D2" w14:textId="3907F09D" w:rsidR="00EC7776" w:rsidRPr="00EC7776" w:rsidRDefault="00D11275" w:rsidP="00CB4DCA">
      <w:pPr>
        <w:shd w:val="clear" w:color="auto" w:fill="FFFFFF"/>
        <w:tabs>
          <w:tab w:val="left" w:pos="270"/>
          <w:tab w:val="left" w:pos="810"/>
          <w:tab w:val="left" w:pos="1440"/>
          <w:tab w:val="left" w:pos="2070"/>
        </w:tabs>
        <w:rPr>
          <w:rFonts w:cs="Arial"/>
          <w:color w:val="000000" w:themeColor="text1"/>
          <w:szCs w:val="22"/>
        </w:rPr>
      </w:pPr>
      <w:hyperlink r:id="rId32" w:history="1">
        <w:r w:rsidR="00EC7776" w:rsidRPr="00EC7776">
          <w:rPr>
            <w:rStyle w:val="Hyperlink"/>
            <w:rFonts w:cs="Arial"/>
            <w:bCs/>
            <w:szCs w:val="22"/>
          </w:rPr>
          <w:t>Waterford</w:t>
        </w:r>
      </w:hyperlink>
      <w:r w:rsidR="00EC7776" w:rsidRPr="00EC7776">
        <w:rPr>
          <w:rFonts w:cs="Arial"/>
          <w:bCs/>
          <w:color w:val="000000" w:themeColor="text1"/>
          <w:szCs w:val="22"/>
        </w:rPr>
        <w:t xml:space="preserve"> – </w:t>
      </w:r>
      <w:r w:rsidR="00EC7776" w:rsidRPr="00EC7776">
        <w:rPr>
          <w:rFonts w:cs="Arial"/>
          <w:color w:val="000000" w:themeColor="text1"/>
          <w:szCs w:val="22"/>
        </w:rPr>
        <w:t>In July 2017 during a rain and lightning event, arcing was observed on a main transformer isophase bus duct, prompting operators to manually trip the reactor. The generator trip breakers automatically opened, but the breakers for the startup transformer failed to close, resulting in the de-energization of all safety and non-safety AC buses. Both EDGs started as designed and reenergized the safety buses. Troubleshooting revealed that the failure of the automatic fast bus transfer was caused by digital relays timing out in approximately one-tenth of the expected time.</w:t>
      </w:r>
      <w:r w:rsidR="00AC59EE">
        <w:rPr>
          <w:rFonts w:cs="Arial"/>
          <w:color w:val="000000" w:themeColor="text1"/>
          <w:szCs w:val="22"/>
        </w:rPr>
        <w:t xml:space="preserve"> </w:t>
      </w:r>
      <w:r w:rsidR="00EC7776" w:rsidRPr="00EC7776">
        <w:rPr>
          <w:rFonts w:cs="Arial"/>
          <w:color w:val="000000" w:themeColor="text1"/>
          <w:szCs w:val="22"/>
        </w:rPr>
        <w:t xml:space="preserve"> These relays had been replaced as part of a design modification, but the design change procedure did not account for the relays’ susceptibility to inductive kick.</w:t>
      </w:r>
      <w:r w:rsidR="00AC59EE">
        <w:rPr>
          <w:rFonts w:cs="Arial"/>
          <w:color w:val="000000" w:themeColor="text1"/>
          <w:szCs w:val="22"/>
        </w:rPr>
        <w:t xml:space="preserve"> </w:t>
      </w:r>
      <w:r w:rsidR="00EC7776" w:rsidRPr="00EC7776">
        <w:rPr>
          <w:rFonts w:cs="Arial"/>
          <w:color w:val="000000" w:themeColor="text1"/>
          <w:szCs w:val="22"/>
        </w:rPr>
        <w:t xml:space="preserve"> This resulted in a </w:t>
      </w:r>
      <w:r w:rsidR="00E932A1">
        <w:rPr>
          <w:rFonts w:cs="Arial"/>
          <w:color w:val="000000" w:themeColor="text1"/>
          <w:szCs w:val="22"/>
        </w:rPr>
        <w:t>Green</w:t>
      </w:r>
      <w:r w:rsidR="00EC7776" w:rsidRPr="00EC7776">
        <w:rPr>
          <w:rFonts w:cs="Arial"/>
          <w:color w:val="000000" w:themeColor="text1"/>
          <w:szCs w:val="22"/>
        </w:rPr>
        <w:t xml:space="preserve"> finding and associated violation of Technical Specification 3.8.1.1, “A.C. Sources.”</w:t>
      </w:r>
      <w:r w:rsidR="00791D6A">
        <w:rPr>
          <w:rFonts w:cs="Arial"/>
          <w:color w:val="000000" w:themeColor="text1"/>
          <w:szCs w:val="22"/>
        </w:rPr>
        <w:t xml:space="preserve">  </w:t>
      </w:r>
      <w:r w:rsidR="00791D6A">
        <w:t xml:space="preserve">Additional information is available in NRC </w:t>
      </w:r>
      <w:r w:rsidR="00E932A1">
        <w:t>Special</w:t>
      </w:r>
      <w:r w:rsidR="00791D6A">
        <w:t xml:space="preserve"> Inspection Report 05000382/2017011, available at ADAMS Accession Number ML17354A690.</w:t>
      </w:r>
    </w:p>
    <w:p w14:paraId="448D3678" w14:textId="77777777" w:rsidR="00EC7776" w:rsidRDefault="00EC7776" w:rsidP="00CB4DCA">
      <w:pPr>
        <w:pStyle w:val="ListParagraph"/>
        <w:shd w:val="clear" w:color="auto" w:fill="FFFFFF"/>
        <w:tabs>
          <w:tab w:val="left" w:pos="270"/>
          <w:tab w:val="left" w:pos="810"/>
          <w:tab w:val="left" w:pos="1440"/>
          <w:tab w:val="left" w:pos="2070"/>
        </w:tabs>
        <w:ind w:left="0"/>
        <w:rPr>
          <w:rFonts w:cs="Arial"/>
          <w:color w:val="000000" w:themeColor="text1"/>
          <w:szCs w:val="22"/>
        </w:rPr>
      </w:pPr>
    </w:p>
    <w:p w14:paraId="786F6DCF" w14:textId="281997D1" w:rsidR="00EC7776" w:rsidRPr="00EC7776" w:rsidRDefault="00D11275" w:rsidP="00CB4DCA">
      <w:pPr>
        <w:shd w:val="clear" w:color="auto" w:fill="FFFFFF"/>
        <w:tabs>
          <w:tab w:val="left" w:pos="270"/>
          <w:tab w:val="left" w:pos="810"/>
          <w:tab w:val="left" w:pos="1440"/>
          <w:tab w:val="left" w:pos="2070"/>
        </w:tabs>
        <w:rPr>
          <w:rFonts w:cs="Arial"/>
          <w:color w:val="000000" w:themeColor="text1"/>
          <w:szCs w:val="22"/>
        </w:rPr>
      </w:pPr>
      <w:hyperlink r:id="rId33" w:history="1">
        <w:r w:rsidR="00EC7776" w:rsidRPr="00EC7776">
          <w:rPr>
            <w:rStyle w:val="Hyperlink"/>
            <w:rFonts w:cs="Arial"/>
            <w:bCs/>
            <w:szCs w:val="22"/>
          </w:rPr>
          <w:t>Brunswick</w:t>
        </w:r>
      </w:hyperlink>
      <w:r w:rsidR="00EC7776" w:rsidRPr="00EC7776">
        <w:rPr>
          <w:rFonts w:cs="Arial"/>
          <w:bCs/>
          <w:color w:val="000000" w:themeColor="text1"/>
          <w:szCs w:val="22"/>
        </w:rPr>
        <w:t xml:space="preserve"> – </w:t>
      </w:r>
      <w:r w:rsidR="00EC7776" w:rsidRPr="00EC7776">
        <w:rPr>
          <w:rFonts w:cs="Arial"/>
          <w:color w:val="000000" w:themeColor="text1"/>
          <w:szCs w:val="22"/>
        </w:rPr>
        <w:t xml:space="preserve">In the Spring 2015 refueling outage during post-maintenance testing at </w:t>
      </w:r>
      <w:r w:rsidR="00EC7776" w:rsidRPr="00EC7776">
        <w:rPr>
          <w:rFonts w:cs="Arial"/>
          <w:szCs w:val="22"/>
        </w:rPr>
        <w:t>Brunswick</w:t>
      </w:r>
      <w:r w:rsidR="00EC7776" w:rsidRPr="00EC7776">
        <w:rPr>
          <w:rFonts w:cs="Arial"/>
          <w:color w:val="000000" w:themeColor="text1"/>
          <w:szCs w:val="22"/>
        </w:rPr>
        <w:t>, the EDG output breaker failed to close to power its emergency bus. Subsequent troubleshooting revealed that the relays installed in the circuit contained</w:t>
      </w:r>
      <w:r w:rsidR="00CB4DCA">
        <w:rPr>
          <w:rFonts w:cs="Arial"/>
          <w:color w:val="000000" w:themeColor="text1"/>
          <w:szCs w:val="22"/>
        </w:rPr>
        <w:t xml:space="preserve"> an internal digital component </w:t>
      </w:r>
      <w:r w:rsidR="00EC7776" w:rsidRPr="00EC7776">
        <w:rPr>
          <w:rFonts w:cs="Arial"/>
          <w:color w:val="000000" w:themeColor="text1"/>
          <w:szCs w:val="22"/>
        </w:rPr>
        <w:t xml:space="preserve">that was susceptible to inductive kick. The relays were the same model and same manufacturer as the relays that had previously been installed in the circuit, but the original equipment manufacturer had changed the internal relay design.  Multiple dedicating entities failed to identify the design change. The issue had been identified during </w:t>
      </w:r>
      <w:r w:rsidR="002D3BD5" w:rsidRPr="00EC7776">
        <w:rPr>
          <w:rFonts w:cs="Arial"/>
          <w:color w:val="000000" w:themeColor="text1"/>
          <w:szCs w:val="22"/>
        </w:rPr>
        <w:t>a Component Design Basis Inspection by NRC inspector</w:t>
      </w:r>
      <w:r w:rsidR="002D3BD5">
        <w:rPr>
          <w:rFonts w:cs="Arial"/>
          <w:color w:val="000000" w:themeColor="text1"/>
          <w:szCs w:val="22"/>
        </w:rPr>
        <w:t>s</w:t>
      </w:r>
      <w:r w:rsidR="00EC7776" w:rsidRPr="00EC7776">
        <w:rPr>
          <w:rFonts w:cs="Arial"/>
          <w:color w:val="000000" w:themeColor="text1"/>
          <w:szCs w:val="22"/>
        </w:rPr>
        <w:t xml:space="preserve"> at Vogtle, but the relays were never installed there and the licensee at Brunswick was not aware of the earlier issue. Several of these entities subsequently submitted 10 CFR Part 21 reports, and the NRC issued Information Notice 2016-01. </w:t>
      </w:r>
      <w:r w:rsidR="00EC7776">
        <w:t xml:space="preserve">This event resulted in a </w:t>
      </w:r>
      <w:r w:rsidR="00E932A1">
        <w:t xml:space="preserve">Green </w:t>
      </w:r>
      <w:r w:rsidR="00EC7776">
        <w:t>violation of Title 10 of the Code of Federal Regulations (10 CFR) Part 50, Appendix B, Criterion III, “Design Control.”</w:t>
      </w:r>
      <w:r w:rsidR="00791D6A">
        <w:t xml:space="preserve">  Additional information is available in NRC </w:t>
      </w:r>
      <w:r w:rsidR="00E932A1">
        <w:t>Problem Identification and Resolution</w:t>
      </w:r>
      <w:r w:rsidR="00791D6A">
        <w:t xml:space="preserve"> Inspection Report 05000</w:t>
      </w:r>
      <w:r w:rsidR="002D3BD5">
        <w:t>324</w:t>
      </w:r>
      <w:r w:rsidR="00791D6A">
        <w:t>/201</w:t>
      </w:r>
      <w:r w:rsidR="002D3BD5">
        <w:t>5</w:t>
      </w:r>
      <w:r w:rsidR="00791D6A">
        <w:t>00</w:t>
      </w:r>
      <w:r w:rsidR="002D3BD5">
        <w:t>7</w:t>
      </w:r>
      <w:r w:rsidR="00791D6A">
        <w:t>, available at ADAMS Accession Number ML1</w:t>
      </w:r>
      <w:r w:rsidR="002D3BD5">
        <w:t>5210A725</w:t>
      </w:r>
      <w:r w:rsidR="00791D6A">
        <w:t>.</w:t>
      </w:r>
    </w:p>
    <w:p w14:paraId="65D4A4B2" w14:textId="77777777" w:rsidR="00EC7776" w:rsidRDefault="00EC7776" w:rsidP="00CB4DCA">
      <w:pPr>
        <w:pStyle w:val="ListParagraph"/>
        <w:shd w:val="clear" w:color="auto" w:fill="FFFFFF"/>
        <w:tabs>
          <w:tab w:val="left" w:pos="270"/>
          <w:tab w:val="left" w:pos="810"/>
          <w:tab w:val="left" w:pos="1440"/>
          <w:tab w:val="left" w:pos="2070"/>
        </w:tabs>
        <w:ind w:left="0"/>
        <w:rPr>
          <w:rFonts w:cs="Arial"/>
          <w:color w:val="000000" w:themeColor="text1"/>
          <w:szCs w:val="22"/>
        </w:rPr>
      </w:pPr>
    </w:p>
    <w:p w14:paraId="29BF1C4E" w14:textId="79A31D4C" w:rsidR="00EC7776" w:rsidRDefault="00D11275" w:rsidP="00CB4DCA">
      <w:pPr>
        <w:shd w:val="clear" w:color="auto" w:fill="FFFFFF"/>
        <w:tabs>
          <w:tab w:val="left" w:pos="270"/>
          <w:tab w:val="left" w:pos="810"/>
          <w:tab w:val="left" w:pos="1440"/>
          <w:tab w:val="left" w:pos="2070"/>
        </w:tabs>
      </w:pPr>
      <w:hyperlink r:id="rId34" w:history="1">
        <w:r w:rsidR="00EC7776" w:rsidRPr="00EC7776">
          <w:rPr>
            <w:rStyle w:val="Hyperlink"/>
            <w:rFonts w:cs="Arial"/>
            <w:bCs/>
            <w:szCs w:val="22"/>
          </w:rPr>
          <w:t>Callaway</w:t>
        </w:r>
      </w:hyperlink>
      <w:r w:rsidR="00EC7776" w:rsidRPr="00EC7776">
        <w:rPr>
          <w:rFonts w:cs="Arial"/>
          <w:bCs/>
          <w:color w:val="000000" w:themeColor="text1"/>
          <w:szCs w:val="22"/>
        </w:rPr>
        <w:t xml:space="preserve"> – </w:t>
      </w:r>
      <w:r w:rsidR="00EC7776" w:rsidRPr="00EC7776">
        <w:rPr>
          <w:rFonts w:cs="Arial"/>
          <w:color w:val="000000" w:themeColor="text1"/>
          <w:szCs w:val="22"/>
        </w:rPr>
        <w:t>While responding to a reactor trip, operators noted that the motor-driven auxiliary feedwater flow control valve did not respond to the “open” demand signals from the control room.</w:t>
      </w:r>
      <w:r w:rsidR="00AC59EE">
        <w:rPr>
          <w:rFonts w:cs="Arial"/>
          <w:color w:val="000000" w:themeColor="text1"/>
          <w:szCs w:val="22"/>
        </w:rPr>
        <w:t xml:space="preserve"> </w:t>
      </w:r>
      <w:r w:rsidR="00EC7776" w:rsidRPr="00EC7776">
        <w:rPr>
          <w:rFonts w:cs="Arial"/>
          <w:color w:val="000000" w:themeColor="text1"/>
          <w:szCs w:val="22"/>
        </w:rPr>
        <w:t xml:space="preserve"> Troubleshooting identified a failed rectifier diode bridge on a Modutronics circuit card. The card had been purchased as a reverse engineered component to replace an obsolete card, but the vendor that reverse engineered the card incorporated a rectifier with half the current carrying capacity of the original circuit card.</w:t>
      </w:r>
      <w:r w:rsidR="00AC59EE">
        <w:rPr>
          <w:rFonts w:cs="Arial"/>
          <w:color w:val="000000" w:themeColor="text1"/>
          <w:szCs w:val="22"/>
        </w:rPr>
        <w:t xml:space="preserve"> </w:t>
      </w:r>
      <w:r w:rsidR="00EC7776" w:rsidRPr="00EC7776">
        <w:rPr>
          <w:rFonts w:cs="Arial"/>
          <w:color w:val="000000" w:themeColor="text1"/>
          <w:szCs w:val="22"/>
        </w:rPr>
        <w:t xml:space="preserve"> The licensee failed to provide adequate oversight of the vendor. This event was included in NRC Information Notice </w:t>
      </w:r>
      <w:r w:rsidR="002D3BD5" w:rsidRPr="00EC7776">
        <w:rPr>
          <w:rFonts w:cs="Arial"/>
          <w:color w:val="000000" w:themeColor="text1"/>
          <w:szCs w:val="22"/>
        </w:rPr>
        <w:t>2016-09 and</w:t>
      </w:r>
      <w:r w:rsidR="00EC7776">
        <w:t xml:space="preserve"> resulted in a </w:t>
      </w:r>
      <w:r w:rsidR="00E932A1">
        <w:t xml:space="preserve">Green </w:t>
      </w:r>
      <w:r w:rsidR="00EC7776">
        <w:t xml:space="preserve">violation of Title 10 of the Code of Federal Regulations (10 CFR) Part 50, </w:t>
      </w:r>
      <w:r w:rsidR="00EC7776">
        <w:lastRenderedPageBreak/>
        <w:t>Appendix B, Criterion III, “Design Control.”</w:t>
      </w:r>
      <w:r w:rsidR="002D3BD5">
        <w:t xml:space="preserve">  Additional information is available in NRC </w:t>
      </w:r>
      <w:r w:rsidR="00E932A1">
        <w:t xml:space="preserve">Special </w:t>
      </w:r>
      <w:r w:rsidR="002D3BD5">
        <w:t>Inspection Report 05000483/2015009, available at ADAMS Accession Number ML16013A021.</w:t>
      </w:r>
    </w:p>
    <w:p w14:paraId="7EBB6E8D" w14:textId="77777777" w:rsidR="00E932A1" w:rsidRPr="00EC7776" w:rsidRDefault="00E932A1" w:rsidP="00CB4DCA">
      <w:pPr>
        <w:shd w:val="clear" w:color="auto" w:fill="FFFFFF"/>
        <w:tabs>
          <w:tab w:val="left" w:pos="270"/>
          <w:tab w:val="left" w:pos="810"/>
          <w:tab w:val="left" w:pos="1440"/>
          <w:tab w:val="left" w:pos="2070"/>
        </w:tabs>
        <w:rPr>
          <w:rFonts w:cs="Arial"/>
          <w:bCs/>
          <w:color w:val="000000" w:themeColor="text1"/>
          <w:szCs w:val="22"/>
          <w:u w:val="single"/>
        </w:rPr>
      </w:pPr>
    </w:p>
    <w:p w14:paraId="554A8689" w14:textId="23AE863B" w:rsidR="00EC7776" w:rsidRPr="00EC7776" w:rsidRDefault="00D11275" w:rsidP="00CB4DCA">
      <w:pPr>
        <w:shd w:val="clear" w:color="auto" w:fill="FFFFFF"/>
        <w:tabs>
          <w:tab w:val="left" w:pos="270"/>
          <w:tab w:val="left" w:pos="810"/>
          <w:tab w:val="left" w:pos="1440"/>
          <w:tab w:val="left" w:pos="2070"/>
        </w:tabs>
        <w:rPr>
          <w:rFonts w:cs="Arial"/>
          <w:color w:val="000000" w:themeColor="text1"/>
          <w:szCs w:val="22"/>
        </w:rPr>
      </w:pPr>
      <w:hyperlink r:id="rId35" w:history="1">
        <w:r w:rsidR="00EC7776" w:rsidRPr="00EC7776">
          <w:rPr>
            <w:rStyle w:val="Hyperlink"/>
            <w:rFonts w:cs="Arial"/>
            <w:bCs/>
            <w:szCs w:val="22"/>
          </w:rPr>
          <w:t>River Bend</w:t>
        </w:r>
      </w:hyperlink>
      <w:r w:rsidR="00EC7776" w:rsidRPr="00EC7776">
        <w:rPr>
          <w:rFonts w:cs="Arial"/>
          <w:bCs/>
          <w:color w:val="000000" w:themeColor="text1"/>
          <w:szCs w:val="22"/>
        </w:rPr>
        <w:t xml:space="preserve"> – In</w:t>
      </w:r>
      <w:r w:rsidR="00EC7776" w:rsidRPr="00EC7776">
        <w:rPr>
          <w:rFonts w:cs="Arial"/>
          <w:color w:val="000000" w:themeColor="text1"/>
          <w:szCs w:val="22"/>
        </w:rPr>
        <w:t xml:space="preserve"> March 2015, during division I emergency core cooling system/loss of coolant accident (ECCS/LOCA) testing, a control building chiller failed to restart and sequence onto the emergency diesel generator.</w:t>
      </w:r>
      <w:r w:rsidR="00AC59EE">
        <w:rPr>
          <w:rFonts w:cs="Arial"/>
          <w:color w:val="000000" w:themeColor="text1"/>
          <w:szCs w:val="22"/>
        </w:rPr>
        <w:t xml:space="preserve"> </w:t>
      </w:r>
      <w:r w:rsidR="00EC7776" w:rsidRPr="00EC7776">
        <w:rPr>
          <w:rFonts w:cs="Arial"/>
          <w:color w:val="000000" w:themeColor="text1"/>
          <w:szCs w:val="22"/>
        </w:rPr>
        <w:t xml:space="preserve"> Operators attempted to start chillers on division II, but those failed to start because the air handling units were not operating due to a breaker switch linkage rod that was out of alignment.</w:t>
      </w:r>
      <w:r w:rsidR="00AC59EE">
        <w:rPr>
          <w:rFonts w:cs="Arial"/>
          <w:color w:val="000000" w:themeColor="text1"/>
          <w:szCs w:val="22"/>
        </w:rPr>
        <w:t xml:space="preserve"> </w:t>
      </w:r>
      <w:r w:rsidR="00EC7776" w:rsidRPr="00EC7776">
        <w:rPr>
          <w:rFonts w:cs="Arial"/>
          <w:color w:val="000000" w:themeColor="text1"/>
          <w:szCs w:val="22"/>
        </w:rPr>
        <w:t xml:space="preserve"> The failure of the division I chiller to sequence on the EDG was the result of a design issue with the associated Masterpact breaker.  These Masterpact breakers were part of a design change to replace obsolete GE HK breakers, but the licensee failed to identify a failure mode that exists in certain scenarios where the breaker receives simultaneous open and close signals. </w:t>
      </w:r>
      <w:r w:rsidR="00AC59EE">
        <w:rPr>
          <w:rFonts w:cs="Arial"/>
          <w:color w:val="000000" w:themeColor="text1"/>
          <w:szCs w:val="22"/>
        </w:rPr>
        <w:t xml:space="preserve"> </w:t>
      </w:r>
      <w:r w:rsidR="00EC7776" w:rsidRPr="00EC7776">
        <w:rPr>
          <w:rFonts w:cs="Arial"/>
          <w:color w:val="000000" w:themeColor="text1"/>
          <w:szCs w:val="22"/>
        </w:rPr>
        <w:t xml:space="preserve">The breaker vendor issued guidance to modify the circuitry in the breaker to preclude this failure mode. </w:t>
      </w:r>
      <w:r w:rsidR="00EC7776">
        <w:t>This event is describe</w:t>
      </w:r>
      <w:r w:rsidR="002D3BD5">
        <w:t>d</w:t>
      </w:r>
      <w:r w:rsidR="00EC7776">
        <w:t xml:space="preserve"> in NRC Information Notice </w:t>
      </w:r>
      <w:r w:rsidR="002D3BD5">
        <w:t>2017-05 and</w:t>
      </w:r>
      <w:r w:rsidR="00EC7776">
        <w:t xml:space="preserve"> resulted in a </w:t>
      </w:r>
      <w:r w:rsidR="00E932A1">
        <w:t xml:space="preserve">Green </w:t>
      </w:r>
      <w:r w:rsidR="00EC7776">
        <w:t>violation of Title 10 of the Code of Federal Regulations (10 CFR) Part 50, Appendix B, Criterion XVI, “Corrective Action.”</w:t>
      </w:r>
      <w:r w:rsidR="002D3BD5">
        <w:t xml:space="preserve">  Additional information is available in NRC Integrated Inspection Report 05000458/2015010, available at ADAMS Accession Number ML16047A268.</w:t>
      </w:r>
    </w:p>
    <w:p w14:paraId="27180CFD" w14:textId="77777777" w:rsidR="00EC7776" w:rsidRPr="00647022" w:rsidRDefault="00EC7776" w:rsidP="00CB4DCA">
      <w:pPr>
        <w:pStyle w:val="ListParagraph"/>
        <w:shd w:val="clear" w:color="auto" w:fill="FFFFFF"/>
        <w:ind w:left="0"/>
        <w:rPr>
          <w:rFonts w:cs="Arial"/>
          <w:color w:val="000000" w:themeColor="text1"/>
          <w:szCs w:val="22"/>
        </w:rPr>
      </w:pPr>
    </w:p>
    <w:p w14:paraId="60B709DE" w14:textId="6CC61457" w:rsidR="00EC7776" w:rsidRPr="00EC7776" w:rsidRDefault="00D11275" w:rsidP="00CB4DCA">
      <w:pPr>
        <w:shd w:val="clear" w:color="auto" w:fill="FFFFFF"/>
        <w:rPr>
          <w:rFonts w:cs="Arial"/>
          <w:color w:val="000000" w:themeColor="text1"/>
          <w:szCs w:val="22"/>
        </w:rPr>
      </w:pPr>
      <w:hyperlink r:id="rId36" w:history="1">
        <w:r w:rsidR="00EC7776" w:rsidRPr="00EC7776">
          <w:rPr>
            <w:rStyle w:val="Hyperlink"/>
            <w:rFonts w:cs="Arial"/>
            <w:bCs/>
            <w:szCs w:val="22"/>
          </w:rPr>
          <w:t>St Lucie 1</w:t>
        </w:r>
      </w:hyperlink>
      <w:r w:rsidR="00EC7776" w:rsidRPr="00EC7776">
        <w:rPr>
          <w:rFonts w:cs="Arial"/>
          <w:bCs/>
          <w:color w:val="000000" w:themeColor="text1"/>
          <w:szCs w:val="22"/>
        </w:rPr>
        <w:t xml:space="preserve"> – </w:t>
      </w:r>
      <w:r w:rsidR="00EC7776" w:rsidRPr="00EC7776">
        <w:rPr>
          <w:rFonts w:cs="Arial"/>
          <w:color w:val="000000" w:themeColor="text1"/>
          <w:szCs w:val="22"/>
        </w:rPr>
        <w:t>In August 2016 during restart following an outage, an unexpected actuation of the Main Generator Inadvertent Energization Lockout relay caused the main generator to trip and a subsequent reactor trip.</w:t>
      </w:r>
      <w:r w:rsidR="00AC59EE">
        <w:rPr>
          <w:rFonts w:cs="Arial"/>
          <w:color w:val="000000" w:themeColor="text1"/>
          <w:szCs w:val="22"/>
        </w:rPr>
        <w:t xml:space="preserve"> </w:t>
      </w:r>
      <w:r w:rsidR="00EC7776" w:rsidRPr="00EC7776">
        <w:rPr>
          <w:rFonts w:cs="Arial"/>
          <w:color w:val="000000" w:themeColor="text1"/>
          <w:szCs w:val="22"/>
        </w:rPr>
        <w:t xml:space="preserve"> The generator lockout prevented an automatic transfer to the startup transformer and de-energized the safety buses. The EDGs started and powered the safety buses. A design modification in 2013 resulted in a wire being incorrectly removed, which resulted in the relay being energized and undetected.</w:t>
      </w:r>
      <w:r w:rsidR="00AC59EE">
        <w:rPr>
          <w:rFonts w:cs="Arial"/>
          <w:color w:val="000000" w:themeColor="text1"/>
          <w:szCs w:val="22"/>
        </w:rPr>
        <w:t xml:space="preserve"> </w:t>
      </w:r>
      <w:r w:rsidR="00EC7776" w:rsidRPr="00EC7776">
        <w:rPr>
          <w:rFonts w:cs="Arial"/>
          <w:color w:val="000000" w:themeColor="text1"/>
          <w:szCs w:val="22"/>
        </w:rPr>
        <w:t xml:space="preserve"> This event resulted in a White finding </w:t>
      </w:r>
      <w:r w:rsidR="00EC7776">
        <w:t>for the licensee’s failure to maintain configuration control of the inadvertent energization lockout relay manual synchronization circuitry as required by licensee procedures</w:t>
      </w:r>
      <w:r w:rsidR="00EC7776" w:rsidRPr="00EC7776">
        <w:rPr>
          <w:rFonts w:cs="Arial"/>
          <w:color w:val="000000" w:themeColor="text1"/>
          <w:szCs w:val="22"/>
        </w:rPr>
        <w:t>.</w:t>
      </w:r>
      <w:r w:rsidR="002D3BD5">
        <w:rPr>
          <w:rFonts w:cs="Arial"/>
          <w:color w:val="000000" w:themeColor="text1"/>
          <w:szCs w:val="22"/>
        </w:rPr>
        <w:t xml:space="preserve">  </w:t>
      </w:r>
      <w:r w:rsidR="002D3BD5">
        <w:t>Additional information is available in NRC Inspection Report 050003</w:t>
      </w:r>
      <w:r w:rsidR="00E932A1">
        <w:t>35</w:t>
      </w:r>
      <w:r w:rsidR="002D3BD5">
        <w:t>/2016012, available at ADAMS Accession Number ML17179A461.</w:t>
      </w:r>
    </w:p>
    <w:p w14:paraId="5F24589A" w14:textId="77777777" w:rsidR="00EC7776" w:rsidRDefault="00EC7776" w:rsidP="00CB4DCA"/>
    <w:p w14:paraId="3A04CC12" w14:textId="77777777" w:rsidR="00C2090A" w:rsidRDefault="00C2090A" w:rsidP="00CB4DCA"/>
    <w:p w14:paraId="7F1F39BF" w14:textId="7DC2ECD6" w:rsidR="003D4F96" w:rsidRPr="00FF6355" w:rsidRDefault="00BE43A2" w:rsidP="00CB4DCA">
      <w:r>
        <w:t xml:space="preserve">OpESS </w:t>
      </w:r>
      <w:r w:rsidR="00495C4B">
        <w:t>2019/01</w:t>
      </w:r>
      <w:r w:rsidR="005F0592">
        <w:t>-</w:t>
      </w:r>
      <w:r w:rsidR="008F6F7E">
        <w:t>05</w:t>
      </w:r>
      <w:r w:rsidR="00B06B1B" w:rsidRPr="00FF6355">
        <w:tab/>
      </w:r>
      <w:r>
        <w:t>REPORTING RESULTS/TIME CHARGES/ADDITIONAL ISSUES</w:t>
      </w:r>
    </w:p>
    <w:p w14:paraId="6BF7564F" w14:textId="77777777" w:rsidR="00B06B1B" w:rsidRPr="00FF6355" w:rsidRDefault="00B06B1B" w:rsidP="00CB4DCA"/>
    <w:p w14:paraId="25F3CB64" w14:textId="77777777" w:rsidR="004B3608" w:rsidRPr="000923B7" w:rsidRDefault="004B3608" w:rsidP="00F341F1">
      <w:pPr>
        <w:pStyle w:val="CommentText"/>
        <w:rPr>
          <w:color w:val="000000" w:themeColor="text1"/>
          <w:sz w:val="22"/>
          <w:szCs w:val="24"/>
        </w:rPr>
      </w:pPr>
      <w:r w:rsidRPr="000923B7">
        <w:rPr>
          <w:color w:val="000000" w:themeColor="text1"/>
          <w:sz w:val="22"/>
          <w:szCs w:val="24"/>
        </w:rPr>
        <w:t xml:space="preserve">If information from this OpESS is used to inform a baseline inspection sample, reference the OpESS number in the scope section of the report. </w:t>
      </w:r>
    </w:p>
    <w:p w14:paraId="53DE888F" w14:textId="77777777" w:rsidR="004B3608" w:rsidRPr="000923B7" w:rsidRDefault="004B3608" w:rsidP="00F341F1">
      <w:pPr>
        <w:pStyle w:val="CommentText"/>
        <w:rPr>
          <w:color w:val="000000" w:themeColor="text1"/>
          <w:sz w:val="22"/>
          <w:szCs w:val="24"/>
        </w:rPr>
      </w:pPr>
    </w:p>
    <w:p w14:paraId="53723CAC" w14:textId="7508B7F0" w:rsidR="00EF3763" w:rsidRDefault="004B3608" w:rsidP="00EF3763">
      <w:pPr>
        <w:pStyle w:val="CommentText"/>
        <w:rPr>
          <w:color w:val="000000" w:themeColor="text1"/>
          <w:sz w:val="22"/>
          <w:szCs w:val="24"/>
        </w:rPr>
      </w:pPr>
      <w:r w:rsidRPr="000923B7">
        <w:rPr>
          <w:color w:val="000000" w:themeColor="text1"/>
          <w:sz w:val="22"/>
          <w:szCs w:val="24"/>
        </w:rPr>
        <w:t xml:space="preserve">In addition, if any findings or violations are identified in conjunction with this OpESS, include a statement </w:t>
      </w:r>
      <w:proofErr w:type="gramStart"/>
      <w:r w:rsidRPr="000923B7">
        <w:rPr>
          <w:color w:val="000000" w:themeColor="text1"/>
          <w:sz w:val="22"/>
          <w:szCs w:val="24"/>
        </w:rPr>
        <w:t>similar to</w:t>
      </w:r>
      <w:proofErr w:type="gramEnd"/>
      <w:r w:rsidRPr="000923B7">
        <w:rPr>
          <w:color w:val="000000" w:themeColor="text1"/>
          <w:sz w:val="22"/>
          <w:szCs w:val="24"/>
        </w:rPr>
        <w:t xml:space="preserve"> the following in the description section of the finding write-up: </w:t>
      </w:r>
    </w:p>
    <w:p w14:paraId="6A856B92" w14:textId="77777777" w:rsidR="00EF3763" w:rsidRDefault="00EF3763" w:rsidP="004B3608">
      <w:pPr>
        <w:pStyle w:val="CommentText"/>
        <w:ind w:left="605"/>
        <w:rPr>
          <w:color w:val="000000" w:themeColor="text1"/>
          <w:sz w:val="22"/>
          <w:szCs w:val="24"/>
        </w:rPr>
      </w:pPr>
    </w:p>
    <w:p w14:paraId="4F3301E6" w14:textId="400C55CD" w:rsidR="004B3608" w:rsidRPr="000923B7" w:rsidRDefault="004B3608" w:rsidP="004B3608">
      <w:pPr>
        <w:pStyle w:val="CommentText"/>
        <w:ind w:left="605"/>
        <w:rPr>
          <w:color w:val="000000" w:themeColor="text1"/>
          <w:sz w:val="22"/>
          <w:szCs w:val="24"/>
        </w:rPr>
      </w:pPr>
      <w:r w:rsidRPr="000923B7">
        <w:rPr>
          <w:color w:val="000000" w:themeColor="text1"/>
          <w:sz w:val="22"/>
          <w:szCs w:val="24"/>
        </w:rPr>
        <w:t>“This finding was identified in connection with a review of Operating Expe</w:t>
      </w:r>
      <w:r w:rsidR="00DF3082" w:rsidRPr="000923B7">
        <w:rPr>
          <w:color w:val="000000" w:themeColor="text1"/>
          <w:sz w:val="22"/>
          <w:szCs w:val="24"/>
        </w:rPr>
        <w:t>rience Smart Sample (OpESS) 201</w:t>
      </w:r>
      <w:r w:rsidR="00EC7776">
        <w:rPr>
          <w:color w:val="000000" w:themeColor="text1"/>
          <w:sz w:val="22"/>
          <w:szCs w:val="24"/>
        </w:rPr>
        <w:t>9</w:t>
      </w:r>
      <w:r w:rsidRPr="000923B7">
        <w:rPr>
          <w:color w:val="000000" w:themeColor="text1"/>
          <w:sz w:val="22"/>
          <w:szCs w:val="24"/>
        </w:rPr>
        <w:t>/</w:t>
      </w:r>
      <w:r w:rsidR="00EC7776">
        <w:rPr>
          <w:color w:val="000000" w:themeColor="text1"/>
          <w:sz w:val="22"/>
          <w:szCs w:val="24"/>
        </w:rPr>
        <w:t>XX</w:t>
      </w:r>
      <w:r w:rsidRPr="000923B7">
        <w:rPr>
          <w:color w:val="000000" w:themeColor="text1"/>
          <w:sz w:val="22"/>
          <w:szCs w:val="24"/>
        </w:rPr>
        <w:t xml:space="preserve">.” </w:t>
      </w:r>
    </w:p>
    <w:p w14:paraId="1A656479" w14:textId="77777777" w:rsidR="004B3608" w:rsidRPr="00E763CF" w:rsidRDefault="004B3608" w:rsidP="004B3608">
      <w:pPr>
        <w:pStyle w:val="CommentText"/>
        <w:ind w:left="605"/>
        <w:rPr>
          <w:sz w:val="22"/>
          <w:szCs w:val="24"/>
        </w:rPr>
      </w:pPr>
    </w:p>
    <w:p w14:paraId="418FB5D6" w14:textId="1FC9D361" w:rsidR="004B3608" w:rsidRPr="000923B7" w:rsidRDefault="004B3608" w:rsidP="004B3608">
      <w:pPr>
        <w:pStyle w:val="CommentText"/>
        <w:rPr>
          <w:color w:val="000000" w:themeColor="text1"/>
          <w:sz w:val="22"/>
          <w:szCs w:val="24"/>
        </w:rPr>
      </w:pPr>
      <w:r w:rsidRPr="000923B7">
        <w:rPr>
          <w:color w:val="000000" w:themeColor="text1"/>
          <w:sz w:val="22"/>
          <w:szCs w:val="24"/>
        </w:rPr>
        <w:t>Inspection time for this OpESS is to be charged to the normal baseline procedure under which it is being used</w:t>
      </w:r>
      <w:r w:rsidR="00C367AA">
        <w:rPr>
          <w:color w:val="000000" w:themeColor="text1"/>
          <w:sz w:val="22"/>
          <w:szCs w:val="24"/>
        </w:rPr>
        <w:t xml:space="preserve"> and the level of effort is expected to be within normal baseline inspection sample resource estimates</w:t>
      </w:r>
      <w:r w:rsidRPr="000923B7">
        <w:rPr>
          <w:color w:val="000000" w:themeColor="text1"/>
          <w:sz w:val="22"/>
          <w:szCs w:val="24"/>
        </w:rPr>
        <w:t>.</w:t>
      </w:r>
    </w:p>
    <w:p w14:paraId="41EC6BE3" w14:textId="1DEE10D4" w:rsidR="004B3608" w:rsidRDefault="004B3608" w:rsidP="00F341F1">
      <w:pPr>
        <w:pStyle w:val="CommentText"/>
        <w:rPr>
          <w:color w:val="000000" w:themeColor="text1"/>
          <w:sz w:val="22"/>
          <w:szCs w:val="24"/>
        </w:rPr>
      </w:pPr>
    </w:p>
    <w:p w14:paraId="510844BF" w14:textId="77777777" w:rsidR="00065D41" w:rsidRPr="000923B7" w:rsidRDefault="00065D41" w:rsidP="00F341F1">
      <w:pPr>
        <w:pStyle w:val="CommentText"/>
        <w:rPr>
          <w:color w:val="000000" w:themeColor="text1"/>
          <w:sz w:val="22"/>
          <w:szCs w:val="24"/>
        </w:rPr>
      </w:pPr>
    </w:p>
    <w:p w14:paraId="77021EBD" w14:textId="07738EA1" w:rsidR="00BF330C" w:rsidRPr="00FF6355" w:rsidRDefault="00BE43A2" w:rsidP="00950727">
      <w:r>
        <w:t xml:space="preserve">OpESS </w:t>
      </w:r>
      <w:r w:rsidR="00495C4B">
        <w:t>2019/01</w:t>
      </w:r>
      <w:r w:rsidR="00BF330C" w:rsidRPr="00FF6355">
        <w:t>-0</w:t>
      </w:r>
      <w:r w:rsidR="008F6F7E">
        <w:t>6</w:t>
      </w:r>
      <w:r w:rsidR="00BF330C" w:rsidRPr="00FF6355">
        <w:tab/>
      </w:r>
      <w:r>
        <w:t>CONTACTS</w:t>
      </w:r>
    </w:p>
    <w:p w14:paraId="276221F0" w14:textId="77777777" w:rsidR="00BF330C" w:rsidRPr="00FF6355" w:rsidRDefault="00BF330C" w:rsidP="00950727"/>
    <w:p w14:paraId="0EBA8BC4" w14:textId="1C98CA94" w:rsidR="00A967A8" w:rsidRPr="00547740" w:rsidRDefault="00EC7776" w:rsidP="00547740">
      <w:pPr>
        <w:pStyle w:val="Default"/>
        <w:rPr>
          <w:sz w:val="22"/>
          <w:szCs w:val="22"/>
        </w:rPr>
      </w:pPr>
      <w:r w:rsidRPr="00547740">
        <w:rPr>
          <w:sz w:val="22"/>
          <w:szCs w:val="22"/>
        </w:rPr>
        <w:t xml:space="preserve">For technical support regarding the performance of this </w:t>
      </w:r>
      <w:r>
        <w:rPr>
          <w:sz w:val="22"/>
          <w:szCs w:val="22"/>
        </w:rPr>
        <w:t>OpESS</w:t>
      </w:r>
      <w:r w:rsidRPr="00547740">
        <w:rPr>
          <w:sz w:val="22"/>
          <w:szCs w:val="22"/>
        </w:rPr>
        <w:t xml:space="preserve"> and emergent issues, contact </w:t>
      </w:r>
      <w:r w:rsidR="00EA58F1">
        <w:rPr>
          <w:sz w:val="22"/>
          <w:szCs w:val="22"/>
        </w:rPr>
        <w:t>Aaron Armstrong (NRR/DIRS</w:t>
      </w:r>
      <w:r>
        <w:rPr>
          <w:sz w:val="22"/>
          <w:szCs w:val="22"/>
        </w:rPr>
        <w:t>/</w:t>
      </w:r>
      <w:r w:rsidR="00EA58F1">
        <w:rPr>
          <w:sz w:val="22"/>
          <w:szCs w:val="22"/>
        </w:rPr>
        <w:t>IQVB</w:t>
      </w:r>
      <w:r>
        <w:rPr>
          <w:sz w:val="22"/>
          <w:szCs w:val="22"/>
        </w:rPr>
        <w:t xml:space="preserve">) at 301-415-8396 or </w:t>
      </w:r>
      <w:hyperlink r:id="rId37" w:history="1">
        <w:r w:rsidRPr="00B01CA5">
          <w:rPr>
            <w:rStyle w:val="Hyperlink"/>
            <w:sz w:val="22"/>
            <w:szCs w:val="22"/>
          </w:rPr>
          <w:t>Aaron.Armstrong@nrc.gov</w:t>
        </w:r>
      </w:hyperlink>
      <w:r w:rsidR="00EA58F1">
        <w:rPr>
          <w:sz w:val="22"/>
          <w:szCs w:val="22"/>
        </w:rPr>
        <w:t xml:space="preserve">, Alfred Issa </w:t>
      </w:r>
      <w:r w:rsidR="00EA58F1">
        <w:rPr>
          <w:sz w:val="22"/>
          <w:szCs w:val="22"/>
        </w:rPr>
        <w:lastRenderedPageBreak/>
        <w:t>(NRR/DIRS/IOEB) at 301-415-5342</w:t>
      </w:r>
      <w:r>
        <w:rPr>
          <w:sz w:val="22"/>
          <w:szCs w:val="22"/>
        </w:rPr>
        <w:t xml:space="preserve"> or </w:t>
      </w:r>
      <w:hyperlink r:id="rId38" w:history="1">
        <w:r w:rsidR="00EA58F1" w:rsidRPr="009C68C6">
          <w:rPr>
            <w:rStyle w:val="Hyperlink"/>
            <w:sz w:val="22"/>
            <w:szCs w:val="22"/>
          </w:rPr>
          <w:t>Alfred.Issa@nrc.gov</w:t>
        </w:r>
      </w:hyperlink>
      <w:r w:rsidR="00681EC8">
        <w:rPr>
          <w:sz w:val="22"/>
          <w:szCs w:val="22"/>
        </w:rPr>
        <w:t xml:space="preserve"> </w:t>
      </w:r>
      <w:r>
        <w:rPr>
          <w:sz w:val="22"/>
          <w:szCs w:val="22"/>
        </w:rPr>
        <w:t xml:space="preserve">or Rebecca Sigmon (NRR/DIRS/IOEB) at 301-415-0895 or </w:t>
      </w:r>
      <w:hyperlink r:id="rId39" w:history="1">
        <w:r>
          <w:rPr>
            <w:rStyle w:val="Hyperlink"/>
            <w:sz w:val="22"/>
            <w:szCs w:val="22"/>
          </w:rPr>
          <w:t>Rebecca.Sigmon@nrc.gov</w:t>
        </w:r>
      </w:hyperlink>
      <w:r>
        <w:rPr>
          <w:rStyle w:val="Hyperlink"/>
          <w:sz w:val="22"/>
          <w:szCs w:val="22"/>
        </w:rPr>
        <w:t>.</w:t>
      </w:r>
    </w:p>
    <w:p w14:paraId="708F96BD" w14:textId="77777777" w:rsidR="00E763CF" w:rsidRDefault="00E763CF" w:rsidP="00AF49FF">
      <w:pPr>
        <w:pStyle w:val="Default"/>
        <w:rPr>
          <w:sz w:val="22"/>
          <w:szCs w:val="22"/>
        </w:rPr>
        <w:sectPr w:rsidR="00E763CF" w:rsidSect="00EF3763">
          <w:footerReference w:type="default" r:id="rId40"/>
          <w:footerReference w:type="first" r:id="rId41"/>
          <w:pgSz w:w="12240" w:h="15840" w:code="1"/>
          <w:pgMar w:top="1440" w:right="1440" w:bottom="1440" w:left="1440" w:header="720" w:footer="720" w:gutter="0"/>
          <w:pgNumType w:start="1"/>
          <w:cols w:space="720"/>
          <w:titlePg/>
          <w:docGrid w:linePitch="360"/>
        </w:sectPr>
      </w:pPr>
    </w:p>
    <w:p w14:paraId="3963A08C" w14:textId="5027B240" w:rsidR="00CB61BB" w:rsidRPr="00FF6355" w:rsidRDefault="00CB61BB" w:rsidP="00CB61BB">
      <w:pPr>
        <w:jc w:val="center"/>
      </w:pPr>
      <w:r w:rsidRPr="00FF6355">
        <w:lastRenderedPageBreak/>
        <w:t xml:space="preserve">Revision History for </w:t>
      </w:r>
      <w:proofErr w:type="spellStart"/>
      <w:r>
        <w:t>OpESS</w:t>
      </w:r>
      <w:proofErr w:type="spellEnd"/>
      <w:r w:rsidRPr="00FF6355">
        <w:t xml:space="preserve"> </w:t>
      </w:r>
      <w:r w:rsidR="00065D41">
        <w:t>2019/01</w:t>
      </w:r>
    </w:p>
    <w:p w14:paraId="3E12F599" w14:textId="77777777" w:rsidR="00CB61BB" w:rsidRPr="00FF6355" w:rsidRDefault="00CB61BB" w:rsidP="00CB61BB"/>
    <w:tbl>
      <w:tblPr>
        <w:tblStyle w:val="TableGrid"/>
        <w:tblW w:w="14035" w:type="dxa"/>
        <w:tblLook w:val="01E0" w:firstRow="1" w:lastRow="1" w:firstColumn="1" w:lastColumn="1" w:noHBand="0" w:noVBand="0"/>
      </w:tblPr>
      <w:tblGrid>
        <w:gridCol w:w="1705"/>
        <w:gridCol w:w="1964"/>
        <w:gridCol w:w="5236"/>
        <w:gridCol w:w="2340"/>
        <w:gridCol w:w="2790"/>
      </w:tblGrid>
      <w:tr w:rsidR="00906B4C" w14:paraId="5AE14F68" w14:textId="77777777" w:rsidTr="00E763CF">
        <w:tc>
          <w:tcPr>
            <w:tcW w:w="1705" w:type="dxa"/>
          </w:tcPr>
          <w:p w14:paraId="7864C725" w14:textId="77777777" w:rsidR="00906B4C" w:rsidRPr="00FF6355" w:rsidRDefault="00906B4C" w:rsidP="00EE11D3">
            <w:r w:rsidRPr="00FF6355">
              <w:t>Commitment Tracking Number</w:t>
            </w:r>
          </w:p>
        </w:tc>
        <w:tc>
          <w:tcPr>
            <w:tcW w:w="1964" w:type="dxa"/>
          </w:tcPr>
          <w:p w14:paraId="2AD38AEA" w14:textId="77777777" w:rsidR="00906B4C" w:rsidRDefault="00906B4C" w:rsidP="00906B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Pr>
                <w:rFonts w:cs="Arial"/>
                <w:szCs w:val="22"/>
              </w:rPr>
              <w:t>Accession Number</w:t>
            </w:r>
          </w:p>
          <w:p w14:paraId="1084F373" w14:textId="77777777" w:rsidR="00906B4C" w:rsidRDefault="00906B4C" w:rsidP="00906B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AA205C">
              <w:rPr>
                <w:rFonts w:cs="Arial"/>
                <w:szCs w:val="22"/>
              </w:rPr>
              <w:t>Issue Date</w:t>
            </w:r>
          </w:p>
          <w:p w14:paraId="4D38CB1B" w14:textId="577C3E58" w:rsidR="00906B4C" w:rsidRPr="00FF6355" w:rsidRDefault="00906B4C" w:rsidP="00906B4C">
            <w:pPr>
              <w:jc w:val="center"/>
            </w:pPr>
            <w:r>
              <w:rPr>
                <w:rFonts w:cs="Arial"/>
                <w:szCs w:val="22"/>
              </w:rPr>
              <w:t>Change Notice</w:t>
            </w:r>
          </w:p>
        </w:tc>
        <w:tc>
          <w:tcPr>
            <w:tcW w:w="5236" w:type="dxa"/>
          </w:tcPr>
          <w:p w14:paraId="16D49D9B" w14:textId="77777777" w:rsidR="00906B4C" w:rsidRPr="00FF6355" w:rsidRDefault="00906B4C" w:rsidP="00906B4C">
            <w:pPr>
              <w:jc w:val="center"/>
            </w:pPr>
            <w:r w:rsidRPr="00FF6355">
              <w:t>Description of Change</w:t>
            </w:r>
          </w:p>
        </w:tc>
        <w:tc>
          <w:tcPr>
            <w:tcW w:w="2340" w:type="dxa"/>
          </w:tcPr>
          <w:p w14:paraId="75AF1221" w14:textId="5C57FCB2" w:rsidR="00906B4C" w:rsidRPr="00FF6355" w:rsidRDefault="00495C4B" w:rsidP="00EE11D3">
            <w:r>
              <w:rPr>
                <w:rFonts w:cs="Arial"/>
                <w:szCs w:val="22"/>
              </w:rPr>
              <w:t>Description</w:t>
            </w:r>
            <w:r w:rsidR="00906B4C">
              <w:rPr>
                <w:rFonts w:cs="Arial"/>
                <w:szCs w:val="22"/>
              </w:rPr>
              <w:t xml:space="preserve"> of </w:t>
            </w:r>
            <w:r w:rsidR="00906B4C" w:rsidRPr="00AA205C">
              <w:rPr>
                <w:rFonts w:cs="Arial"/>
                <w:szCs w:val="22"/>
              </w:rPr>
              <w:t xml:space="preserve">Training </w:t>
            </w:r>
            <w:r w:rsidR="00906B4C">
              <w:rPr>
                <w:rFonts w:cs="Arial"/>
                <w:szCs w:val="22"/>
              </w:rPr>
              <w:t>Required and Completion Date</w:t>
            </w:r>
          </w:p>
        </w:tc>
        <w:tc>
          <w:tcPr>
            <w:tcW w:w="2790" w:type="dxa"/>
          </w:tcPr>
          <w:p w14:paraId="0C4B0FD8" w14:textId="77777777" w:rsidR="00906B4C" w:rsidRDefault="00906B4C" w:rsidP="00906B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AA205C">
              <w:rPr>
                <w:rFonts w:cs="Arial"/>
                <w:szCs w:val="22"/>
              </w:rPr>
              <w:t xml:space="preserve">Comment </w:t>
            </w:r>
            <w:r>
              <w:rPr>
                <w:rFonts w:cs="Arial"/>
                <w:szCs w:val="22"/>
              </w:rPr>
              <w:t xml:space="preserve">Resolution and Closed Feedback Form </w:t>
            </w:r>
            <w:r w:rsidRPr="00AA205C">
              <w:rPr>
                <w:rFonts w:cs="Arial"/>
                <w:szCs w:val="22"/>
              </w:rPr>
              <w:t>Accession Number</w:t>
            </w:r>
          </w:p>
          <w:p w14:paraId="2FC2AFDC" w14:textId="17EC170D" w:rsidR="00906B4C" w:rsidRPr="00FF6355" w:rsidRDefault="00906B4C" w:rsidP="00906B4C">
            <w:r>
              <w:rPr>
                <w:rFonts w:cs="Arial"/>
                <w:szCs w:val="22"/>
              </w:rPr>
              <w:t>(Pre-Dec</w:t>
            </w:r>
            <w:r w:rsidR="00495C4B">
              <w:rPr>
                <w:rFonts w:cs="Arial"/>
                <w:szCs w:val="22"/>
              </w:rPr>
              <w:t>isional, Non-Public Information</w:t>
            </w:r>
            <w:r>
              <w:rPr>
                <w:rFonts w:cs="Arial"/>
                <w:szCs w:val="22"/>
              </w:rPr>
              <w:t>)</w:t>
            </w:r>
          </w:p>
        </w:tc>
      </w:tr>
      <w:tr w:rsidR="00906B4C" w14:paraId="68921B51" w14:textId="77777777" w:rsidTr="00E763CF">
        <w:tc>
          <w:tcPr>
            <w:tcW w:w="1705" w:type="dxa"/>
          </w:tcPr>
          <w:p w14:paraId="10B0235F" w14:textId="77777777" w:rsidR="00906B4C" w:rsidRPr="00FF6355" w:rsidRDefault="00906B4C" w:rsidP="00EE11D3">
            <w:r w:rsidRPr="00FF6355">
              <w:t>N/A</w:t>
            </w:r>
          </w:p>
        </w:tc>
        <w:tc>
          <w:tcPr>
            <w:tcW w:w="1964" w:type="dxa"/>
          </w:tcPr>
          <w:p w14:paraId="099517E7" w14:textId="77777777" w:rsidR="00495C4B" w:rsidRDefault="00495C4B" w:rsidP="00EE11D3">
            <w:r w:rsidRPr="00495C4B">
              <w:t>ML19070A308</w:t>
            </w:r>
          </w:p>
          <w:p w14:paraId="40991188" w14:textId="6BAB66FB" w:rsidR="00CE0D32" w:rsidRDefault="00065D41" w:rsidP="00EE11D3">
            <w:r>
              <w:t>07/30</w:t>
            </w:r>
            <w:r w:rsidR="004968E1">
              <w:t>/1</w:t>
            </w:r>
            <w:r w:rsidR="008D0208">
              <w:t>9</w:t>
            </w:r>
          </w:p>
          <w:p w14:paraId="5049BE24" w14:textId="4D7EEF73" w:rsidR="00CE0D32" w:rsidRPr="00646CF6" w:rsidRDefault="00CE0D32" w:rsidP="008D0208">
            <w:r>
              <w:t>CN 1</w:t>
            </w:r>
            <w:r w:rsidR="008D0208">
              <w:t>9</w:t>
            </w:r>
            <w:r>
              <w:t>-</w:t>
            </w:r>
            <w:r w:rsidR="00065D41">
              <w:t>025</w:t>
            </w:r>
          </w:p>
        </w:tc>
        <w:tc>
          <w:tcPr>
            <w:tcW w:w="5236" w:type="dxa"/>
          </w:tcPr>
          <w:p w14:paraId="44B74372" w14:textId="190A291A" w:rsidR="00906B4C" w:rsidRDefault="00906B4C" w:rsidP="00EE11D3">
            <w:r>
              <w:t xml:space="preserve">Initial issuance to provide support for initial baseline inspection activities </w:t>
            </w:r>
            <w:proofErr w:type="gramStart"/>
            <w:r>
              <w:t>in the area of</w:t>
            </w:r>
            <w:proofErr w:type="gramEnd"/>
            <w:r>
              <w:t xml:space="preserve"> </w:t>
            </w:r>
            <w:r w:rsidR="00EC7776">
              <w:t>Maintenance Effectiveness, Plant Modifications, and Design Basis Assurance Inspections.</w:t>
            </w:r>
          </w:p>
          <w:p w14:paraId="3810419F" w14:textId="77777777" w:rsidR="00906B4C" w:rsidRPr="00FF6355" w:rsidRDefault="00906B4C" w:rsidP="00EE11D3"/>
        </w:tc>
        <w:tc>
          <w:tcPr>
            <w:tcW w:w="2340" w:type="dxa"/>
          </w:tcPr>
          <w:p w14:paraId="62B242BB" w14:textId="77777777" w:rsidR="00906B4C" w:rsidRPr="00FF6355" w:rsidRDefault="00906B4C" w:rsidP="00EE11D3">
            <w:r w:rsidRPr="00FF6355">
              <w:t>N/A</w:t>
            </w:r>
          </w:p>
        </w:tc>
        <w:tc>
          <w:tcPr>
            <w:tcW w:w="2790" w:type="dxa"/>
          </w:tcPr>
          <w:p w14:paraId="64E96344" w14:textId="04E9ABC1" w:rsidR="00906B4C" w:rsidRPr="00093F2E" w:rsidRDefault="00495C4B" w:rsidP="008D0208">
            <w:r w:rsidRPr="00495C4B">
              <w:t>ML19071A004</w:t>
            </w:r>
          </w:p>
        </w:tc>
      </w:tr>
    </w:tbl>
    <w:p w14:paraId="7F37E325" w14:textId="1F9880AB" w:rsidR="00CB61BB" w:rsidRPr="00AF49FF" w:rsidRDefault="00CB61BB" w:rsidP="00AF49FF">
      <w:pPr>
        <w:pStyle w:val="Default"/>
        <w:rPr>
          <w:sz w:val="22"/>
          <w:szCs w:val="22"/>
        </w:rPr>
      </w:pPr>
    </w:p>
    <w:sectPr w:rsidR="00CB61BB" w:rsidRPr="00AF49FF" w:rsidSect="00E763CF">
      <w:footerReference w:type="first" r:id="rId42"/>
      <w:pgSz w:w="15840" w:h="12240" w:orient="landscape" w:code="1"/>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B6C68" w14:textId="77777777" w:rsidR="008B4A9E" w:rsidRDefault="008B4A9E">
      <w:r>
        <w:separator/>
      </w:r>
    </w:p>
  </w:endnote>
  <w:endnote w:type="continuationSeparator" w:id="0">
    <w:p w14:paraId="75722D5C" w14:textId="77777777" w:rsidR="008B4A9E" w:rsidRDefault="008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AA9B" w14:textId="30923979" w:rsidR="008B4A9E" w:rsidRDefault="008B4A9E">
    <w:pPr>
      <w:pStyle w:val="Footer"/>
    </w:pPr>
    <w:r>
      <w:t>Issue Date:  07/30/19</w:t>
    </w:r>
    <w:r>
      <w:ptab w:relativeTo="margin" w:alignment="center" w:leader="none"/>
    </w:r>
    <w:r>
      <w:fldChar w:fldCharType="begin"/>
    </w:r>
    <w:r>
      <w:instrText xml:space="preserve"> PAGE   \* MERGEFORMAT </w:instrText>
    </w:r>
    <w:r>
      <w:fldChar w:fldCharType="separate"/>
    </w:r>
    <w:r>
      <w:rPr>
        <w:noProof/>
      </w:rPr>
      <w:t>2</w:t>
    </w:r>
    <w:r>
      <w:rPr>
        <w:noProof/>
      </w:rPr>
      <w:fldChar w:fldCharType="end"/>
    </w:r>
    <w:r>
      <w:ptab w:relativeTo="margin" w:alignment="right" w:leader="none"/>
    </w:r>
    <w:r>
      <w:t>2019/01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08BA" w14:textId="6FBE9821" w:rsidR="008B4A9E" w:rsidRPr="00CB61BB" w:rsidRDefault="008B4A9E" w:rsidP="00CB61BB">
    <w:pPr>
      <w:pStyle w:val="Footer"/>
    </w:pPr>
    <w:r>
      <w:t>Issue Date:  07/30/19</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2019/01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5506" w14:textId="38B88934" w:rsidR="008B4A9E" w:rsidRPr="00CB61BB" w:rsidRDefault="008B4A9E" w:rsidP="00CB61BB">
    <w:pPr>
      <w:pStyle w:val="Footer"/>
    </w:pPr>
    <w:r>
      <w:t>Issue Date:  07/30/19</w:t>
    </w:r>
    <w:r>
      <w:ptab w:relativeTo="margin" w:alignment="center" w:leader="none"/>
    </w:r>
    <w:r>
      <w:t>Att1-1</w:t>
    </w:r>
    <w:r>
      <w:ptab w:relativeTo="margin" w:alignment="right" w:leader="none"/>
    </w:r>
    <w:r>
      <w:t>2019/01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3D59" w14:textId="77777777" w:rsidR="008B4A9E" w:rsidRDefault="008B4A9E">
      <w:r>
        <w:separator/>
      </w:r>
    </w:p>
  </w:footnote>
  <w:footnote w:type="continuationSeparator" w:id="0">
    <w:p w14:paraId="7CFAB125" w14:textId="77777777" w:rsidR="008B4A9E" w:rsidRDefault="008B4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0"/>
    <w:name w:val="AutoList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1E07E3"/>
    <w:multiLevelType w:val="hybridMultilevel"/>
    <w:tmpl w:val="29A4FF72"/>
    <w:lvl w:ilvl="0" w:tplc="04090019">
      <w:start w:val="1"/>
      <w:numFmt w:val="low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34C0"/>
    <w:multiLevelType w:val="hybridMultilevel"/>
    <w:tmpl w:val="E18C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52910"/>
    <w:multiLevelType w:val="hybridMultilevel"/>
    <w:tmpl w:val="07CA2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C3272"/>
    <w:multiLevelType w:val="hybridMultilevel"/>
    <w:tmpl w:val="D58C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3BD8"/>
    <w:multiLevelType w:val="hybridMultilevel"/>
    <w:tmpl w:val="142887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B409A8"/>
    <w:multiLevelType w:val="hybridMultilevel"/>
    <w:tmpl w:val="7A7C64D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20BA4"/>
    <w:multiLevelType w:val="hybridMultilevel"/>
    <w:tmpl w:val="98AED1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C07004"/>
    <w:multiLevelType w:val="hybridMultilevel"/>
    <w:tmpl w:val="21D0A556"/>
    <w:lvl w:ilvl="0" w:tplc="0409000F">
      <w:start w:val="1"/>
      <w:numFmt w:val="decimal"/>
      <w:lvlText w:val="%1."/>
      <w:lvlJc w:val="left"/>
      <w:pPr>
        <w:ind w:left="1080" w:hanging="360"/>
      </w:pPr>
    </w:lvl>
    <w:lvl w:ilvl="1" w:tplc="0409001B">
      <w:start w:val="1"/>
      <w:numFmt w:val="lowerRoman"/>
      <w:lvlText w:val="%2."/>
      <w:lvlJc w:val="righ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CE7793"/>
    <w:multiLevelType w:val="hybridMultilevel"/>
    <w:tmpl w:val="76F07144"/>
    <w:lvl w:ilvl="0" w:tplc="04090019">
      <w:start w:val="1"/>
      <w:numFmt w:val="lowerLetter"/>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F4870"/>
    <w:multiLevelType w:val="multilevel"/>
    <w:tmpl w:val="55AE89A0"/>
    <w:lvl w:ilvl="0">
      <w:start w:val="4"/>
      <w:numFmt w:val="decimalZero"/>
      <w:pStyle w:val="Level1"/>
      <w:lvlText w:val="%1"/>
      <w:lvlJc w:val="left"/>
      <w:pPr>
        <w:tabs>
          <w:tab w:val="num" w:pos="930"/>
        </w:tabs>
        <w:ind w:left="930" w:hanging="930"/>
      </w:pPr>
      <w:rPr>
        <w:rFonts w:hint="default"/>
      </w:rPr>
    </w:lvl>
    <w:lvl w:ilvl="1">
      <w:start w:val="2"/>
      <w:numFmt w:val="decimalZero"/>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6C916E2"/>
    <w:multiLevelType w:val="hybridMultilevel"/>
    <w:tmpl w:val="25E8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61F80"/>
    <w:multiLevelType w:val="hybridMultilevel"/>
    <w:tmpl w:val="3CBC4190"/>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num w:numId="1">
    <w:abstractNumId w:val="10"/>
  </w:num>
  <w:num w:numId="2">
    <w:abstractNumId w:val="4"/>
  </w:num>
  <w:num w:numId="3">
    <w:abstractNumId w:val="11"/>
  </w:num>
  <w:num w:numId="4">
    <w:abstractNumId w:val="3"/>
  </w:num>
  <w:num w:numId="5">
    <w:abstractNumId w:val="6"/>
  </w:num>
  <w:num w:numId="6">
    <w:abstractNumId w:val="1"/>
  </w:num>
  <w:num w:numId="7">
    <w:abstractNumId w:val="9"/>
  </w:num>
  <w:num w:numId="8">
    <w:abstractNumId w:val="8"/>
  </w:num>
  <w:num w:numId="9">
    <w:abstractNumId w:val="12"/>
  </w:num>
  <w:num w:numId="10">
    <w:abstractNumId w:val="7"/>
  </w:num>
  <w:num w:numId="11">
    <w:abstractNumId w:val="5"/>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0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38"/>
    <w:rsid w:val="00000BE8"/>
    <w:rsid w:val="00000CFB"/>
    <w:rsid w:val="00003B21"/>
    <w:rsid w:val="00005BB4"/>
    <w:rsid w:val="00006755"/>
    <w:rsid w:val="00007C0B"/>
    <w:rsid w:val="000118AC"/>
    <w:rsid w:val="000127FE"/>
    <w:rsid w:val="00012D69"/>
    <w:rsid w:val="0001461B"/>
    <w:rsid w:val="00016070"/>
    <w:rsid w:val="00016A75"/>
    <w:rsid w:val="00020BC2"/>
    <w:rsid w:val="000246A0"/>
    <w:rsid w:val="00026BB4"/>
    <w:rsid w:val="000333A5"/>
    <w:rsid w:val="000347A9"/>
    <w:rsid w:val="00037CF3"/>
    <w:rsid w:val="0004121A"/>
    <w:rsid w:val="00047572"/>
    <w:rsid w:val="00047D25"/>
    <w:rsid w:val="00053202"/>
    <w:rsid w:val="00055212"/>
    <w:rsid w:val="00056BD3"/>
    <w:rsid w:val="0005737C"/>
    <w:rsid w:val="00060EB0"/>
    <w:rsid w:val="000610D5"/>
    <w:rsid w:val="00061DC6"/>
    <w:rsid w:val="00064926"/>
    <w:rsid w:val="00065D41"/>
    <w:rsid w:val="000775DE"/>
    <w:rsid w:val="00077786"/>
    <w:rsid w:val="0008160B"/>
    <w:rsid w:val="000826F6"/>
    <w:rsid w:val="00083A67"/>
    <w:rsid w:val="00083E30"/>
    <w:rsid w:val="00085195"/>
    <w:rsid w:val="00085215"/>
    <w:rsid w:val="00090B8B"/>
    <w:rsid w:val="000923B7"/>
    <w:rsid w:val="00093F2E"/>
    <w:rsid w:val="000967D0"/>
    <w:rsid w:val="000A0102"/>
    <w:rsid w:val="000A0998"/>
    <w:rsid w:val="000A1BAC"/>
    <w:rsid w:val="000A47C9"/>
    <w:rsid w:val="000A685B"/>
    <w:rsid w:val="000A6946"/>
    <w:rsid w:val="000A6DC9"/>
    <w:rsid w:val="000B01AC"/>
    <w:rsid w:val="000B1AC2"/>
    <w:rsid w:val="000B20A7"/>
    <w:rsid w:val="000B4EB0"/>
    <w:rsid w:val="000B50BF"/>
    <w:rsid w:val="000B734D"/>
    <w:rsid w:val="000C2796"/>
    <w:rsid w:val="000C33B8"/>
    <w:rsid w:val="000C5F2E"/>
    <w:rsid w:val="000C61C5"/>
    <w:rsid w:val="000C62D5"/>
    <w:rsid w:val="000D1A7B"/>
    <w:rsid w:val="000D2B4C"/>
    <w:rsid w:val="000D466C"/>
    <w:rsid w:val="000D7303"/>
    <w:rsid w:val="000E141A"/>
    <w:rsid w:val="000E181F"/>
    <w:rsid w:val="000E2101"/>
    <w:rsid w:val="000E2CA6"/>
    <w:rsid w:val="000E2F46"/>
    <w:rsid w:val="000E5A63"/>
    <w:rsid w:val="000E5BFE"/>
    <w:rsid w:val="000E602D"/>
    <w:rsid w:val="000F163F"/>
    <w:rsid w:val="000F49B2"/>
    <w:rsid w:val="00100DFA"/>
    <w:rsid w:val="00101173"/>
    <w:rsid w:val="00102807"/>
    <w:rsid w:val="00102AD9"/>
    <w:rsid w:val="00106EAF"/>
    <w:rsid w:val="001107C1"/>
    <w:rsid w:val="001110E6"/>
    <w:rsid w:val="001111E3"/>
    <w:rsid w:val="00113C43"/>
    <w:rsid w:val="00116180"/>
    <w:rsid w:val="00116D3F"/>
    <w:rsid w:val="00117B9A"/>
    <w:rsid w:val="00121864"/>
    <w:rsid w:val="00121EDD"/>
    <w:rsid w:val="0012289D"/>
    <w:rsid w:val="00122A1A"/>
    <w:rsid w:val="00123175"/>
    <w:rsid w:val="00123E6D"/>
    <w:rsid w:val="001249C7"/>
    <w:rsid w:val="0013094D"/>
    <w:rsid w:val="001319C9"/>
    <w:rsid w:val="00134E87"/>
    <w:rsid w:val="001360D5"/>
    <w:rsid w:val="001368B0"/>
    <w:rsid w:val="00137F11"/>
    <w:rsid w:val="00140277"/>
    <w:rsid w:val="00141BBF"/>
    <w:rsid w:val="001442F2"/>
    <w:rsid w:val="00145DCE"/>
    <w:rsid w:val="00146D27"/>
    <w:rsid w:val="0015355A"/>
    <w:rsid w:val="001604EF"/>
    <w:rsid w:val="00161844"/>
    <w:rsid w:val="00161C23"/>
    <w:rsid w:val="00162838"/>
    <w:rsid w:val="00170ECA"/>
    <w:rsid w:val="00171C8C"/>
    <w:rsid w:val="001736DE"/>
    <w:rsid w:val="00173E19"/>
    <w:rsid w:val="00175831"/>
    <w:rsid w:val="0017602A"/>
    <w:rsid w:val="001807B8"/>
    <w:rsid w:val="001808BE"/>
    <w:rsid w:val="00180B44"/>
    <w:rsid w:val="00180F93"/>
    <w:rsid w:val="00181174"/>
    <w:rsid w:val="00181C08"/>
    <w:rsid w:val="001841EF"/>
    <w:rsid w:val="00185F45"/>
    <w:rsid w:val="001871B4"/>
    <w:rsid w:val="00193869"/>
    <w:rsid w:val="00193FD3"/>
    <w:rsid w:val="00195F28"/>
    <w:rsid w:val="00197997"/>
    <w:rsid w:val="001A123C"/>
    <w:rsid w:val="001A3A6C"/>
    <w:rsid w:val="001A3ED8"/>
    <w:rsid w:val="001B0789"/>
    <w:rsid w:val="001B3484"/>
    <w:rsid w:val="001B5459"/>
    <w:rsid w:val="001B7186"/>
    <w:rsid w:val="001C3620"/>
    <w:rsid w:val="001C4489"/>
    <w:rsid w:val="001C5098"/>
    <w:rsid w:val="001C52EB"/>
    <w:rsid w:val="001C5833"/>
    <w:rsid w:val="001C5ED7"/>
    <w:rsid w:val="001D09F2"/>
    <w:rsid w:val="001D0E5E"/>
    <w:rsid w:val="001D26CA"/>
    <w:rsid w:val="001D5E59"/>
    <w:rsid w:val="001D6806"/>
    <w:rsid w:val="001D6B24"/>
    <w:rsid w:val="001E52B2"/>
    <w:rsid w:val="001E7D23"/>
    <w:rsid w:val="001F0799"/>
    <w:rsid w:val="001F2D53"/>
    <w:rsid w:val="001F4988"/>
    <w:rsid w:val="001F7552"/>
    <w:rsid w:val="002011D6"/>
    <w:rsid w:val="00201F75"/>
    <w:rsid w:val="00202C4C"/>
    <w:rsid w:val="00203CA6"/>
    <w:rsid w:val="00205E34"/>
    <w:rsid w:val="00207FD2"/>
    <w:rsid w:val="00215D7A"/>
    <w:rsid w:val="00216E2B"/>
    <w:rsid w:val="00217367"/>
    <w:rsid w:val="00217DBF"/>
    <w:rsid w:val="00220D6F"/>
    <w:rsid w:val="00221613"/>
    <w:rsid w:val="00221A76"/>
    <w:rsid w:val="00221B4B"/>
    <w:rsid w:val="00221B99"/>
    <w:rsid w:val="00222153"/>
    <w:rsid w:val="00223F31"/>
    <w:rsid w:val="00224E69"/>
    <w:rsid w:val="00224EFC"/>
    <w:rsid w:val="00226548"/>
    <w:rsid w:val="00226ACB"/>
    <w:rsid w:val="002276F7"/>
    <w:rsid w:val="0022771B"/>
    <w:rsid w:val="00231985"/>
    <w:rsid w:val="0023304B"/>
    <w:rsid w:val="00235B10"/>
    <w:rsid w:val="00235C45"/>
    <w:rsid w:val="00237D98"/>
    <w:rsid w:val="00243FB2"/>
    <w:rsid w:val="00250932"/>
    <w:rsid w:val="00251344"/>
    <w:rsid w:val="00252278"/>
    <w:rsid w:val="00253C25"/>
    <w:rsid w:val="002578FE"/>
    <w:rsid w:val="00260D0C"/>
    <w:rsid w:val="00262495"/>
    <w:rsid w:val="0026460E"/>
    <w:rsid w:val="00264670"/>
    <w:rsid w:val="00265148"/>
    <w:rsid w:val="00265B7A"/>
    <w:rsid w:val="00270DC0"/>
    <w:rsid w:val="00272808"/>
    <w:rsid w:val="00273DF8"/>
    <w:rsid w:val="00275A18"/>
    <w:rsid w:val="002802A0"/>
    <w:rsid w:val="00280C40"/>
    <w:rsid w:val="00284761"/>
    <w:rsid w:val="002876F9"/>
    <w:rsid w:val="0029107C"/>
    <w:rsid w:val="00292211"/>
    <w:rsid w:val="00294F43"/>
    <w:rsid w:val="00295500"/>
    <w:rsid w:val="00295B66"/>
    <w:rsid w:val="0029651B"/>
    <w:rsid w:val="002A0D55"/>
    <w:rsid w:val="002A400E"/>
    <w:rsid w:val="002A5CB8"/>
    <w:rsid w:val="002A714D"/>
    <w:rsid w:val="002A73DA"/>
    <w:rsid w:val="002A7886"/>
    <w:rsid w:val="002A7A55"/>
    <w:rsid w:val="002B0C63"/>
    <w:rsid w:val="002B1A79"/>
    <w:rsid w:val="002B2CF5"/>
    <w:rsid w:val="002B2D7D"/>
    <w:rsid w:val="002B3111"/>
    <w:rsid w:val="002B4ED9"/>
    <w:rsid w:val="002B58B6"/>
    <w:rsid w:val="002C0465"/>
    <w:rsid w:val="002C1326"/>
    <w:rsid w:val="002C36ED"/>
    <w:rsid w:val="002C5E01"/>
    <w:rsid w:val="002C6AC4"/>
    <w:rsid w:val="002D380F"/>
    <w:rsid w:val="002D39E8"/>
    <w:rsid w:val="002D3BD5"/>
    <w:rsid w:val="002D4046"/>
    <w:rsid w:val="002D5B7C"/>
    <w:rsid w:val="002E10B2"/>
    <w:rsid w:val="002E13D3"/>
    <w:rsid w:val="002E16F3"/>
    <w:rsid w:val="002E37D5"/>
    <w:rsid w:val="002E4BA5"/>
    <w:rsid w:val="002F2636"/>
    <w:rsid w:val="002F283B"/>
    <w:rsid w:val="002F3C4F"/>
    <w:rsid w:val="002F3CC8"/>
    <w:rsid w:val="002F473B"/>
    <w:rsid w:val="002F4874"/>
    <w:rsid w:val="002F4E72"/>
    <w:rsid w:val="002F4FBA"/>
    <w:rsid w:val="002F4FE7"/>
    <w:rsid w:val="002F5F44"/>
    <w:rsid w:val="002F69CD"/>
    <w:rsid w:val="002F714A"/>
    <w:rsid w:val="002F749B"/>
    <w:rsid w:val="00302687"/>
    <w:rsid w:val="00303420"/>
    <w:rsid w:val="0030498E"/>
    <w:rsid w:val="00307E9E"/>
    <w:rsid w:val="0031214B"/>
    <w:rsid w:val="00313838"/>
    <w:rsid w:val="00313925"/>
    <w:rsid w:val="00314241"/>
    <w:rsid w:val="003145C4"/>
    <w:rsid w:val="003156DF"/>
    <w:rsid w:val="00320C8E"/>
    <w:rsid w:val="00321D7F"/>
    <w:rsid w:val="00321DFD"/>
    <w:rsid w:val="0032208F"/>
    <w:rsid w:val="00323362"/>
    <w:rsid w:val="00323E8E"/>
    <w:rsid w:val="0032412A"/>
    <w:rsid w:val="00324489"/>
    <w:rsid w:val="00326C5B"/>
    <w:rsid w:val="00327050"/>
    <w:rsid w:val="00327D1C"/>
    <w:rsid w:val="00331502"/>
    <w:rsid w:val="003318DE"/>
    <w:rsid w:val="00336E31"/>
    <w:rsid w:val="003410C0"/>
    <w:rsid w:val="0034183B"/>
    <w:rsid w:val="00343462"/>
    <w:rsid w:val="00343886"/>
    <w:rsid w:val="003444B4"/>
    <w:rsid w:val="0034492F"/>
    <w:rsid w:val="00345FA0"/>
    <w:rsid w:val="0034696B"/>
    <w:rsid w:val="0035184A"/>
    <w:rsid w:val="00353702"/>
    <w:rsid w:val="00353B2E"/>
    <w:rsid w:val="00354FE8"/>
    <w:rsid w:val="003550B3"/>
    <w:rsid w:val="00357112"/>
    <w:rsid w:val="0036025B"/>
    <w:rsid w:val="003633DA"/>
    <w:rsid w:val="00363DDD"/>
    <w:rsid w:val="00365451"/>
    <w:rsid w:val="00365C6C"/>
    <w:rsid w:val="00371EDE"/>
    <w:rsid w:val="00372C4D"/>
    <w:rsid w:val="00374AF4"/>
    <w:rsid w:val="003752C7"/>
    <w:rsid w:val="003757DB"/>
    <w:rsid w:val="003765B4"/>
    <w:rsid w:val="003800C8"/>
    <w:rsid w:val="00380CE2"/>
    <w:rsid w:val="00384E51"/>
    <w:rsid w:val="00385D71"/>
    <w:rsid w:val="00386B9D"/>
    <w:rsid w:val="003874C3"/>
    <w:rsid w:val="003936E2"/>
    <w:rsid w:val="00393F4B"/>
    <w:rsid w:val="00395A5B"/>
    <w:rsid w:val="003A36A6"/>
    <w:rsid w:val="003A5C30"/>
    <w:rsid w:val="003A5E5A"/>
    <w:rsid w:val="003A6806"/>
    <w:rsid w:val="003B0E3D"/>
    <w:rsid w:val="003B1078"/>
    <w:rsid w:val="003C0FAA"/>
    <w:rsid w:val="003C14F4"/>
    <w:rsid w:val="003C1FAF"/>
    <w:rsid w:val="003C2079"/>
    <w:rsid w:val="003C40D6"/>
    <w:rsid w:val="003C6493"/>
    <w:rsid w:val="003C6698"/>
    <w:rsid w:val="003C6830"/>
    <w:rsid w:val="003C79FB"/>
    <w:rsid w:val="003D11AB"/>
    <w:rsid w:val="003D1A7C"/>
    <w:rsid w:val="003D20EF"/>
    <w:rsid w:val="003D38C2"/>
    <w:rsid w:val="003D477E"/>
    <w:rsid w:val="003D4F96"/>
    <w:rsid w:val="003D786D"/>
    <w:rsid w:val="003D7970"/>
    <w:rsid w:val="003E005E"/>
    <w:rsid w:val="003E00DD"/>
    <w:rsid w:val="003E09BB"/>
    <w:rsid w:val="003E1321"/>
    <w:rsid w:val="003E5C15"/>
    <w:rsid w:val="003E6EF5"/>
    <w:rsid w:val="003F16DC"/>
    <w:rsid w:val="003F1839"/>
    <w:rsid w:val="003F18F3"/>
    <w:rsid w:val="003F23EC"/>
    <w:rsid w:val="003F52C6"/>
    <w:rsid w:val="003F5B2A"/>
    <w:rsid w:val="003F62EB"/>
    <w:rsid w:val="003F7FF3"/>
    <w:rsid w:val="00402FA6"/>
    <w:rsid w:val="004065E9"/>
    <w:rsid w:val="004068B0"/>
    <w:rsid w:val="0040699F"/>
    <w:rsid w:val="00407EEB"/>
    <w:rsid w:val="00411127"/>
    <w:rsid w:val="00411AB7"/>
    <w:rsid w:val="00411C26"/>
    <w:rsid w:val="0041291D"/>
    <w:rsid w:val="00414223"/>
    <w:rsid w:val="00414307"/>
    <w:rsid w:val="00414CC5"/>
    <w:rsid w:val="00420374"/>
    <w:rsid w:val="00424B0E"/>
    <w:rsid w:val="004256A0"/>
    <w:rsid w:val="00425C78"/>
    <w:rsid w:val="00430CC7"/>
    <w:rsid w:val="00433FEF"/>
    <w:rsid w:val="00434327"/>
    <w:rsid w:val="00435230"/>
    <w:rsid w:val="004362BC"/>
    <w:rsid w:val="00441052"/>
    <w:rsid w:val="004423FA"/>
    <w:rsid w:val="00442D9E"/>
    <w:rsid w:val="004433F0"/>
    <w:rsid w:val="00443C04"/>
    <w:rsid w:val="00444176"/>
    <w:rsid w:val="00444570"/>
    <w:rsid w:val="004464D9"/>
    <w:rsid w:val="004533E3"/>
    <w:rsid w:val="00454D56"/>
    <w:rsid w:val="00456A78"/>
    <w:rsid w:val="00457EE1"/>
    <w:rsid w:val="00461251"/>
    <w:rsid w:val="00465E8D"/>
    <w:rsid w:val="00476E79"/>
    <w:rsid w:val="00480CC7"/>
    <w:rsid w:val="00480D08"/>
    <w:rsid w:val="00482D06"/>
    <w:rsid w:val="004831A1"/>
    <w:rsid w:val="004841ED"/>
    <w:rsid w:val="00486551"/>
    <w:rsid w:val="00491902"/>
    <w:rsid w:val="00494237"/>
    <w:rsid w:val="00494E81"/>
    <w:rsid w:val="00495B8C"/>
    <w:rsid w:val="00495C4B"/>
    <w:rsid w:val="00496436"/>
    <w:rsid w:val="004968E1"/>
    <w:rsid w:val="0049715C"/>
    <w:rsid w:val="004971F4"/>
    <w:rsid w:val="004A29D7"/>
    <w:rsid w:val="004A2BAF"/>
    <w:rsid w:val="004A3D5C"/>
    <w:rsid w:val="004A6297"/>
    <w:rsid w:val="004B0897"/>
    <w:rsid w:val="004B2959"/>
    <w:rsid w:val="004B2D32"/>
    <w:rsid w:val="004B3502"/>
    <w:rsid w:val="004B3608"/>
    <w:rsid w:val="004B42F4"/>
    <w:rsid w:val="004B5D20"/>
    <w:rsid w:val="004C0E79"/>
    <w:rsid w:val="004C289A"/>
    <w:rsid w:val="004C4933"/>
    <w:rsid w:val="004C4A8A"/>
    <w:rsid w:val="004C5DC0"/>
    <w:rsid w:val="004C60D7"/>
    <w:rsid w:val="004C71B9"/>
    <w:rsid w:val="004C7D5F"/>
    <w:rsid w:val="004D0DC1"/>
    <w:rsid w:val="004D1FAE"/>
    <w:rsid w:val="004D2332"/>
    <w:rsid w:val="004D45AF"/>
    <w:rsid w:val="004D6766"/>
    <w:rsid w:val="004E0324"/>
    <w:rsid w:val="004E062E"/>
    <w:rsid w:val="004E0F61"/>
    <w:rsid w:val="004E216F"/>
    <w:rsid w:val="004E3E1E"/>
    <w:rsid w:val="004E53DE"/>
    <w:rsid w:val="004E6C0A"/>
    <w:rsid w:val="004E7605"/>
    <w:rsid w:val="004F1838"/>
    <w:rsid w:val="004F4833"/>
    <w:rsid w:val="004F4FBA"/>
    <w:rsid w:val="00501300"/>
    <w:rsid w:val="00506EE0"/>
    <w:rsid w:val="0050791C"/>
    <w:rsid w:val="005103E7"/>
    <w:rsid w:val="00510EA6"/>
    <w:rsid w:val="005122BC"/>
    <w:rsid w:val="005126C4"/>
    <w:rsid w:val="00514C6B"/>
    <w:rsid w:val="0052033F"/>
    <w:rsid w:val="00520920"/>
    <w:rsid w:val="0052181D"/>
    <w:rsid w:val="005218E5"/>
    <w:rsid w:val="005245D9"/>
    <w:rsid w:val="00527C32"/>
    <w:rsid w:val="0053319D"/>
    <w:rsid w:val="0053457B"/>
    <w:rsid w:val="00534C57"/>
    <w:rsid w:val="00535403"/>
    <w:rsid w:val="005410E2"/>
    <w:rsid w:val="00542853"/>
    <w:rsid w:val="005432C5"/>
    <w:rsid w:val="00543314"/>
    <w:rsid w:val="005460DC"/>
    <w:rsid w:val="00547740"/>
    <w:rsid w:val="00550AB5"/>
    <w:rsid w:val="00552857"/>
    <w:rsid w:val="005601EE"/>
    <w:rsid w:val="00560923"/>
    <w:rsid w:val="00561740"/>
    <w:rsid w:val="00563736"/>
    <w:rsid w:val="00566F3F"/>
    <w:rsid w:val="00573C23"/>
    <w:rsid w:val="00574A85"/>
    <w:rsid w:val="00576153"/>
    <w:rsid w:val="005762E8"/>
    <w:rsid w:val="005813BC"/>
    <w:rsid w:val="00581964"/>
    <w:rsid w:val="00584A7C"/>
    <w:rsid w:val="00586BD5"/>
    <w:rsid w:val="00587F47"/>
    <w:rsid w:val="00591FDF"/>
    <w:rsid w:val="00593923"/>
    <w:rsid w:val="00593FD5"/>
    <w:rsid w:val="00595AED"/>
    <w:rsid w:val="005968C3"/>
    <w:rsid w:val="005971C8"/>
    <w:rsid w:val="005A07FF"/>
    <w:rsid w:val="005A3D38"/>
    <w:rsid w:val="005A6ADE"/>
    <w:rsid w:val="005B013B"/>
    <w:rsid w:val="005B0C08"/>
    <w:rsid w:val="005B0C28"/>
    <w:rsid w:val="005B32B9"/>
    <w:rsid w:val="005B5783"/>
    <w:rsid w:val="005C1472"/>
    <w:rsid w:val="005C1B21"/>
    <w:rsid w:val="005C2C5B"/>
    <w:rsid w:val="005C5344"/>
    <w:rsid w:val="005C5ECE"/>
    <w:rsid w:val="005C76F0"/>
    <w:rsid w:val="005D3DD2"/>
    <w:rsid w:val="005D4CE8"/>
    <w:rsid w:val="005D4E17"/>
    <w:rsid w:val="005E347F"/>
    <w:rsid w:val="005E380C"/>
    <w:rsid w:val="005E4B6D"/>
    <w:rsid w:val="005E5D1D"/>
    <w:rsid w:val="005E7D10"/>
    <w:rsid w:val="005E7D58"/>
    <w:rsid w:val="005F0592"/>
    <w:rsid w:val="005F1DFC"/>
    <w:rsid w:val="005F2D5A"/>
    <w:rsid w:val="005F31ED"/>
    <w:rsid w:val="005F3B27"/>
    <w:rsid w:val="005F4927"/>
    <w:rsid w:val="005F6D5E"/>
    <w:rsid w:val="005F7D49"/>
    <w:rsid w:val="00601E7D"/>
    <w:rsid w:val="006025DB"/>
    <w:rsid w:val="00603218"/>
    <w:rsid w:val="0060408C"/>
    <w:rsid w:val="00606A51"/>
    <w:rsid w:val="00610218"/>
    <w:rsid w:val="00611C98"/>
    <w:rsid w:val="006127AD"/>
    <w:rsid w:val="00614FA8"/>
    <w:rsid w:val="00623827"/>
    <w:rsid w:val="00624C84"/>
    <w:rsid w:val="0062539B"/>
    <w:rsid w:val="00627489"/>
    <w:rsid w:val="00627C95"/>
    <w:rsid w:val="00634596"/>
    <w:rsid w:val="006345C4"/>
    <w:rsid w:val="00635901"/>
    <w:rsid w:val="00637E81"/>
    <w:rsid w:val="00637F6D"/>
    <w:rsid w:val="00637F6E"/>
    <w:rsid w:val="00640612"/>
    <w:rsid w:val="0064797E"/>
    <w:rsid w:val="006515E3"/>
    <w:rsid w:val="00653029"/>
    <w:rsid w:val="0065303E"/>
    <w:rsid w:val="0066105B"/>
    <w:rsid w:val="00663CF0"/>
    <w:rsid w:val="006648F6"/>
    <w:rsid w:val="006661AD"/>
    <w:rsid w:val="00667F66"/>
    <w:rsid w:val="00670817"/>
    <w:rsid w:val="00671B02"/>
    <w:rsid w:val="00671C9B"/>
    <w:rsid w:val="00672F0E"/>
    <w:rsid w:val="00673383"/>
    <w:rsid w:val="00673D1A"/>
    <w:rsid w:val="006749C6"/>
    <w:rsid w:val="006756A6"/>
    <w:rsid w:val="00676662"/>
    <w:rsid w:val="00677F24"/>
    <w:rsid w:val="00681EC8"/>
    <w:rsid w:val="00683AA1"/>
    <w:rsid w:val="00685511"/>
    <w:rsid w:val="00687253"/>
    <w:rsid w:val="00687F0F"/>
    <w:rsid w:val="00690CE4"/>
    <w:rsid w:val="0069229C"/>
    <w:rsid w:val="006923AB"/>
    <w:rsid w:val="006958B7"/>
    <w:rsid w:val="00695A8F"/>
    <w:rsid w:val="006968EE"/>
    <w:rsid w:val="006A0DF3"/>
    <w:rsid w:val="006A350A"/>
    <w:rsid w:val="006A5DBF"/>
    <w:rsid w:val="006B04DD"/>
    <w:rsid w:val="006B1FAE"/>
    <w:rsid w:val="006B46C1"/>
    <w:rsid w:val="006C1CEE"/>
    <w:rsid w:val="006C3E2F"/>
    <w:rsid w:val="006C4569"/>
    <w:rsid w:val="006C6026"/>
    <w:rsid w:val="006C61AA"/>
    <w:rsid w:val="006C638B"/>
    <w:rsid w:val="006C638C"/>
    <w:rsid w:val="006C6E7C"/>
    <w:rsid w:val="006C7AF9"/>
    <w:rsid w:val="006C7B2F"/>
    <w:rsid w:val="006C7FC0"/>
    <w:rsid w:val="006D02A7"/>
    <w:rsid w:val="006D192E"/>
    <w:rsid w:val="006D2640"/>
    <w:rsid w:val="006D466B"/>
    <w:rsid w:val="006D6E0F"/>
    <w:rsid w:val="006D7453"/>
    <w:rsid w:val="006E00D3"/>
    <w:rsid w:val="006E04A1"/>
    <w:rsid w:val="006E08F0"/>
    <w:rsid w:val="006E38D9"/>
    <w:rsid w:val="006E5350"/>
    <w:rsid w:val="006E5B13"/>
    <w:rsid w:val="006E5DBF"/>
    <w:rsid w:val="006F0441"/>
    <w:rsid w:val="006F1D89"/>
    <w:rsid w:val="00700EC3"/>
    <w:rsid w:val="00701400"/>
    <w:rsid w:val="0070198F"/>
    <w:rsid w:val="007026B4"/>
    <w:rsid w:val="00702DF6"/>
    <w:rsid w:val="00702E97"/>
    <w:rsid w:val="00703AD9"/>
    <w:rsid w:val="00705AFB"/>
    <w:rsid w:val="0070723B"/>
    <w:rsid w:val="007078E7"/>
    <w:rsid w:val="00713645"/>
    <w:rsid w:val="00714851"/>
    <w:rsid w:val="00715803"/>
    <w:rsid w:val="0071674E"/>
    <w:rsid w:val="00716A1F"/>
    <w:rsid w:val="00722A5B"/>
    <w:rsid w:val="007231E4"/>
    <w:rsid w:val="007243A3"/>
    <w:rsid w:val="0072498B"/>
    <w:rsid w:val="00725D5D"/>
    <w:rsid w:val="00726F8B"/>
    <w:rsid w:val="00727788"/>
    <w:rsid w:val="0073234D"/>
    <w:rsid w:val="00732993"/>
    <w:rsid w:val="007335EA"/>
    <w:rsid w:val="00733CD5"/>
    <w:rsid w:val="007372BC"/>
    <w:rsid w:val="007377F7"/>
    <w:rsid w:val="00741A2F"/>
    <w:rsid w:val="007468E4"/>
    <w:rsid w:val="007520C1"/>
    <w:rsid w:val="0075413F"/>
    <w:rsid w:val="0075451F"/>
    <w:rsid w:val="007561D3"/>
    <w:rsid w:val="00757143"/>
    <w:rsid w:val="00763BA6"/>
    <w:rsid w:val="00766A72"/>
    <w:rsid w:val="007725D4"/>
    <w:rsid w:val="0078097C"/>
    <w:rsid w:val="00781173"/>
    <w:rsid w:val="007824D6"/>
    <w:rsid w:val="007828F1"/>
    <w:rsid w:val="007830DE"/>
    <w:rsid w:val="00783A3B"/>
    <w:rsid w:val="00785CD6"/>
    <w:rsid w:val="00786A56"/>
    <w:rsid w:val="00786C19"/>
    <w:rsid w:val="00786DDD"/>
    <w:rsid w:val="00787139"/>
    <w:rsid w:val="00787BBA"/>
    <w:rsid w:val="007912E7"/>
    <w:rsid w:val="00791D6A"/>
    <w:rsid w:val="00792F3B"/>
    <w:rsid w:val="0079433C"/>
    <w:rsid w:val="00796869"/>
    <w:rsid w:val="007A1628"/>
    <w:rsid w:val="007A3306"/>
    <w:rsid w:val="007A3899"/>
    <w:rsid w:val="007A48F7"/>
    <w:rsid w:val="007A672A"/>
    <w:rsid w:val="007B2573"/>
    <w:rsid w:val="007B4971"/>
    <w:rsid w:val="007B4A21"/>
    <w:rsid w:val="007B55D9"/>
    <w:rsid w:val="007B78B7"/>
    <w:rsid w:val="007C3C5B"/>
    <w:rsid w:val="007C3C74"/>
    <w:rsid w:val="007C3DCD"/>
    <w:rsid w:val="007C4317"/>
    <w:rsid w:val="007C461C"/>
    <w:rsid w:val="007C66A0"/>
    <w:rsid w:val="007D0191"/>
    <w:rsid w:val="007D4940"/>
    <w:rsid w:val="007D5626"/>
    <w:rsid w:val="007D638C"/>
    <w:rsid w:val="007E0894"/>
    <w:rsid w:val="007E1114"/>
    <w:rsid w:val="007E2CF3"/>
    <w:rsid w:val="007E3169"/>
    <w:rsid w:val="007E3AAB"/>
    <w:rsid w:val="007E4154"/>
    <w:rsid w:val="007E5C4E"/>
    <w:rsid w:val="007E5D99"/>
    <w:rsid w:val="007E69B0"/>
    <w:rsid w:val="007E761C"/>
    <w:rsid w:val="007F1074"/>
    <w:rsid w:val="007F14A2"/>
    <w:rsid w:val="007F3A2E"/>
    <w:rsid w:val="00801A91"/>
    <w:rsid w:val="0080246A"/>
    <w:rsid w:val="00803DE7"/>
    <w:rsid w:val="0080444C"/>
    <w:rsid w:val="0080655E"/>
    <w:rsid w:val="00806655"/>
    <w:rsid w:val="00807D75"/>
    <w:rsid w:val="00807E3F"/>
    <w:rsid w:val="0082028C"/>
    <w:rsid w:val="0082109C"/>
    <w:rsid w:val="00821530"/>
    <w:rsid w:val="00821BB6"/>
    <w:rsid w:val="0082248E"/>
    <w:rsid w:val="00822D30"/>
    <w:rsid w:val="00823554"/>
    <w:rsid w:val="00826683"/>
    <w:rsid w:val="00831503"/>
    <w:rsid w:val="0083554A"/>
    <w:rsid w:val="00835608"/>
    <w:rsid w:val="008366BA"/>
    <w:rsid w:val="00840838"/>
    <w:rsid w:val="00840ED5"/>
    <w:rsid w:val="00841684"/>
    <w:rsid w:val="00841A33"/>
    <w:rsid w:val="0084216D"/>
    <w:rsid w:val="008423B3"/>
    <w:rsid w:val="00844A8A"/>
    <w:rsid w:val="008452D7"/>
    <w:rsid w:val="00845975"/>
    <w:rsid w:val="00845C93"/>
    <w:rsid w:val="00846365"/>
    <w:rsid w:val="008507D7"/>
    <w:rsid w:val="008521D9"/>
    <w:rsid w:val="00855CD6"/>
    <w:rsid w:val="008568BA"/>
    <w:rsid w:val="00860D07"/>
    <w:rsid w:val="00861B48"/>
    <w:rsid w:val="00865153"/>
    <w:rsid w:val="0087283C"/>
    <w:rsid w:val="00880AB2"/>
    <w:rsid w:val="00881FF4"/>
    <w:rsid w:val="008835DD"/>
    <w:rsid w:val="008850DE"/>
    <w:rsid w:val="0088724A"/>
    <w:rsid w:val="00887DBE"/>
    <w:rsid w:val="0089227A"/>
    <w:rsid w:val="008965D7"/>
    <w:rsid w:val="00897A22"/>
    <w:rsid w:val="008A09B7"/>
    <w:rsid w:val="008A16C9"/>
    <w:rsid w:val="008A407A"/>
    <w:rsid w:val="008A46D6"/>
    <w:rsid w:val="008A698E"/>
    <w:rsid w:val="008A6A29"/>
    <w:rsid w:val="008B112C"/>
    <w:rsid w:val="008B1B6B"/>
    <w:rsid w:val="008B1D54"/>
    <w:rsid w:val="008B3C07"/>
    <w:rsid w:val="008B4A9E"/>
    <w:rsid w:val="008B5E21"/>
    <w:rsid w:val="008B776F"/>
    <w:rsid w:val="008C4351"/>
    <w:rsid w:val="008D0208"/>
    <w:rsid w:val="008D167C"/>
    <w:rsid w:val="008D1927"/>
    <w:rsid w:val="008D2191"/>
    <w:rsid w:val="008D22EA"/>
    <w:rsid w:val="008D4C67"/>
    <w:rsid w:val="008D670D"/>
    <w:rsid w:val="008D75AD"/>
    <w:rsid w:val="008E0421"/>
    <w:rsid w:val="008E056F"/>
    <w:rsid w:val="008E3951"/>
    <w:rsid w:val="008E3A3F"/>
    <w:rsid w:val="008E3B66"/>
    <w:rsid w:val="008E5FD1"/>
    <w:rsid w:val="008E7CFB"/>
    <w:rsid w:val="008F2AB7"/>
    <w:rsid w:val="008F44DB"/>
    <w:rsid w:val="008F6F7E"/>
    <w:rsid w:val="00901272"/>
    <w:rsid w:val="00902548"/>
    <w:rsid w:val="0090398C"/>
    <w:rsid w:val="00904817"/>
    <w:rsid w:val="00906B4C"/>
    <w:rsid w:val="00907872"/>
    <w:rsid w:val="00912137"/>
    <w:rsid w:val="00913453"/>
    <w:rsid w:val="0091583F"/>
    <w:rsid w:val="0091627E"/>
    <w:rsid w:val="0092136E"/>
    <w:rsid w:val="00922497"/>
    <w:rsid w:val="00922A24"/>
    <w:rsid w:val="009276B6"/>
    <w:rsid w:val="00927EDD"/>
    <w:rsid w:val="00930055"/>
    <w:rsid w:val="00933DE5"/>
    <w:rsid w:val="0093478A"/>
    <w:rsid w:val="0093495F"/>
    <w:rsid w:val="0093748F"/>
    <w:rsid w:val="009376F2"/>
    <w:rsid w:val="0093771C"/>
    <w:rsid w:val="00941178"/>
    <w:rsid w:val="009411C7"/>
    <w:rsid w:val="00942E10"/>
    <w:rsid w:val="00942FC1"/>
    <w:rsid w:val="00947FB4"/>
    <w:rsid w:val="00950727"/>
    <w:rsid w:val="0095183B"/>
    <w:rsid w:val="00953FE9"/>
    <w:rsid w:val="00954615"/>
    <w:rsid w:val="00954BA2"/>
    <w:rsid w:val="00955CF5"/>
    <w:rsid w:val="009612FA"/>
    <w:rsid w:val="00961FB7"/>
    <w:rsid w:val="00962DD9"/>
    <w:rsid w:val="0096535E"/>
    <w:rsid w:val="0096589F"/>
    <w:rsid w:val="00967278"/>
    <w:rsid w:val="00967C35"/>
    <w:rsid w:val="00967F85"/>
    <w:rsid w:val="0097144D"/>
    <w:rsid w:val="0097281B"/>
    <w:rsid w:val="00975765"/>
    <w:rsid w:val="00976AF8"/>
    <w:rsid w:val="0098226B"/>
    <w:rsid w:val="00990CEA"/>
    <w:rsid w:val="00991F6A"/>
    <w:rsid w:val="0099509F"/>
    <w:rsid w:val="00995E55"/>
    <w:rsid w:val="009A0874"/>
    <w:rsid w:val="009A0DB7"/>
    <w:rsid w:val="009A2532"/>
    <w:rsid w:val="009A3A78"/>
    <w:rsid w:val="009A5C3C"/>
    <w:rsid w:val="009A6608"/>
    <w:rsid w:val="009A67BF"/>
    <w:rsid w:val="009B113E"/>
    <w:rsid w:val="009B163F"/>
    <w:rsid w:val="009B1BC2"/>
    <w:rsid w:val="009B4C7B"/>
    <w:rsid w:val="009B6E3F"/>
    <w:rsid w:val="009C0CF1"/>
    <w:rsid w:val="009C246E"/>
    <w:rsid w:val="009C26CA"/>
    <w:rsid w:val="009C380C"/>
    <w:rsid w:val="009C4603"/>
    <w:rsid w:val="009C5211"/>
    <w:rsid w:val="009C540D"/>
    <w:rsid w:val="009D07AB"/>
    <w:rsid w:val="009D1AF4"/>
    <w:rsid w:val="009D243A"/>
    <w:rsid w:val="009D5866"/>
    <w:rsid w:val="009D7582"/>
    <w:rsid w:val="009D7898"/>
    <w:rsid w:val="009E0273"/>
    <w:rsid w:val="009E39C5"/>
    <w:rsid w:val="009E45C2"/>
    <w:rsid w:val="009E7262"/>
    <w:rsid w:val="009F1FE9"/>
    <w:rsid w:val="009F2243"/>
    <w:rsid w:val="009F27C8"/>
    <w:rsid w:val="009F3252"/>
    <w:rsid w:val="009F4518"/>
    <w:rsid w:val="009F671F"/>
    <w:rsid w:val="009F6738"/>
    <w:rsid w:val="009F696C"/>
    <w:rsid w:val="009F7A83"/>
    <w:rsid w:val="00A013C6"/>
    <w:rsid w:val="00A01789"/>
    <w:rsid w:val="00A019B8"/>
    <w:rsid w:val="00A07E47"/>
    <w:rsid w:val="00A12B0A"/>
    <w:rsid w:val="00A1602F"/>
    <w:rsid w:val="00A16516"/>
    <w:rsid w:val="00A168B8"/>
    <w:rsid w:val="00A25CCB"/>
    <w:rsid w:val="00A25E41"/>
    <w:rsid w:val="00A305EE"/>
    <w:rsid w:val="00A34416"/>
    <w:rsid w:val="00A409DA"/>
    <w:rsid w:val="00A44933"/>
    <w:rsid w:val="00A45538"/>
    <w:rsid w:val="00A52841"/>
    <w:rsid w:val="00A53E93"/>
    <w:rsid w:val="00A541F1"/>
    <w:rsid w:val="00A54651"/>
    <w:rsid w:val="00A57CEA"/>
    <w:rsid w:val="00A57EA8"/>
    <w:rsid w:val="00A62573"/>
    <w:rsid w:val="00A62A37"/>
    <w:rsid w:val="00A64932"/>
    <w:rsid w:val="00A64994"/>
    <w:rsid w:val="00A656E3"/>
    <w:rsid w:val="00A67195"/>
    <w:rsid w:val="00A67D70"/>
    <w:rsid w:val="00A7055F"/>
    <w:rsid w:val="00A70881"/>
    <w:rsid w:val="00A72842"/>
    <w:rsid w:val="00A7359E"/>
    <w:rsid w:val="00A77DBD"/>
    <w:rsid w:val="00A812D3"/>
    <w:rsid w:val="00A81D91"/>
    <w:rsid w:val="00A8388F"/>
    <w:rsid w:val="00A851C9"/>
    <w:rsid w:val="00A854AE"/>
    <w:rsid w:val="00A874CA"/>
    <w:rsid w:val="00A8765C"/>
    <w:rsid w:val="00A8790C"/>
    <w:rsid w:val="00A96715"/>
    <w:rsid w:val="00A96751"/>
    <w:rsid w:val="00A967A8"/>
    <w:rsid w:val="00A96BA1"/>
    <w:rsid w:val="00AA2897"/>
    <w:rsid w:val="00AA5C7C"/>
    <w:rsid w:val="00AA6B66"/>
    <w:rsid w:val="00AA73A3"/>
    <w:rsid w:val="00AB0057"/>
    <w:rsid w:val="00AB0EA1"/>
    <w:rsid w:val="00AB5B37"/>
    <w:rsid w:val="00AB77B7"/>
    <w:rsid w:val="00AC0BC8"/>
    <w:rsid w:val="00AC0CC5"/>
    <w:rsid w:val="00AC12FD"/>
    <w:rsid w:val="00AC34BD"/>
    <w:rsid w:val="00AC4188"/>
    <w:rsid w:val="00AC453D"/>
    <w:rsid w:val="00AC559A"/>
    <w:rsid w:val="00AC59EE"/>
    <w:rsid w:val="00AC747B"/>
    <w:rsid w:val="00AD1965"/>
    <w:rsid w:val="00AD28F5"/>
    <w:rsid w:val="00AD30C4"/>
    <w:rsid w:val="00AD3C44"/>
    <w:rsid w:val="00AD5F19"/>
    <w:rsid w:val="00AE07A5"/>
    <w:rsid w:val="00AE0D03"/>
    <w:rsid w:val="00AE1D22"/>
    <w:rsid w:val="00AE5CF9"/>
    <w:rsid w:val="00AE620E"/>
    <w:rsid w:val="00AE73DB"/>
    <w:rsid w:val="00AF49FF"/>
    <w:rsid w:val="00AF5523"/>
    <w:rsid w:val="00AF6126"/>
    <w:rsid w:val="00B01AEA"/>
    <w:rsid w:val="00B01F20"/>
    <w:rsid w:val="00B03920"/>
    <w:rsid w:val="00B05630"/>
    <w:rsid w:val="00B066F4"/>
    <w:rsid w:val="00B0682E"/>
    <w:rsid w:val="00B06B1B"/>
    <w:rsid w:val="00B11E25"/>
    <w:rsid w:val="00B123C0"/>
    <w:rsid w:val="00B123F5"/>
    <w:rsid w:val="00B12DEB"/>
    <w:rsid w:val="00B17A52"/>
    <w:rsid w:val="00B24FEC"/>
    <w:rsid w:val="00B257DC"/>
    <w:rsid w:val="00B25E36"/>
    <w:rsid w:val="00B324B6"/>
    <w:rsid w:val="00B367BB"/>
    <w:rsid w:val="00B371F4"/>
    <w:rsid w:val="00B37284"/>
    <w:rsid w:val="00B40ED0"/>
    <w:rsid w:val="00B45042"/>
    <w:rsid w:val="00B46678"/>
    <w:rsid w:val="00B47326"/>
    <w:rsid w:val="00B477CE"/>
    <w:rsid w:val="00B479A1"/>
    <w:rsid w:val="00B50364"/>
    <w:rsid w:val="00B504AF"/>
    <w:rsid w:val="00B5056F"/>
    <w:rsid w:val="00B518FC"/>
    <w:rsid w:val="00B524C9"/>
    <w:rsid w:val="00B52817"/>
    <w:rsid w:val="00B570D9"/>
    <w:rsid w:val="00B575E7"/>
    <w:rsid w:val="00B610ED"/>
    <w:rsid w:val="00B61DCC"/>
    <w:rsid w:val="00B639F4"/>
    <w:rsid w:val="00B6452B"/>
    <w:rsid w:val="00B67EBC"/>
    <w:rsid w:val="00B72AE1"/>
    <w:rsid w:val="00B74434"/>
    <w:rsid w:val="00B7503A"/>
    <w:rsid w:val="00B75583"/>
    <w:rsid w:val="00B76758"/>
    <w:rsid w:val="00B77091"/>
    <w:rsid w:val="00B80C01"/>
    <w:rsid w:val="00B817BD"/>
    <w:rsid w:val="00B8683F"/>
    <w:rsid w:val="00B87054"/>
    <w:rsid w:val="00B916F4"/>
    <w:rsid w:val="00B91C8E"/>
    <w:rsid w:val="00B93BB6"/>
    <w:rsid w:val="00B93F78"/>
    <w:rsid w:val="00B95018"/>
    <w:rsid w:val="00B976E1"/>
    <w:rsid w:val="00BA3569"/>
    <w:rsid w:val="00BA5855"/>
    <w:rsid w:val="00BA5BAE"/>
    <w:rsid w:val="00BA7722"/>
    <w:rsid w:val="00BB1CE7"/>
    <w:rsid w:val="00BB2724"/>
    <w:rsid w:val="00BB4C94"/>
    <w:rsid w:val="00BB5B78"/>
    <w:rsid w:val="00BB757B"/>
    <w:rsid w:val="00BC1819"/>
    <w:rsid w:val="00BC6E0F"/>
    <w:rsid w:val="00BC7797"/>
    <w:rsid w:val="00BD19CE"/>
    <w:rsid w:val="00BD1E75"/>
    <w:rsid w:val="00BD362B"/>
    <w:rsid w:val="00BD586F"/>
    <w:rsid w:val="00BE0610"/>
    <w:rsid w:val="00BE1874"/>
    <w:rsid w:val="00BE43A2"/>
    <w:rsid w:val="00BE5689"/>
    <w:rsid w:val="00BE68E4"/>
    <w:rsid w:val="00BE7097"/>
    <w:rsid w:val="00BE7874"/>
    <w:rsid w:val="00BF1504"/>
    <w:rsid w:val="00BF1AA9"/>
    <w:rsid w:val="00BF2CAF"/>
    <w:rsid w:val="00BF330C"/>
    <w:rsid w:val="00BF3E8C"/>
    <w:rsid w:val="00C011D9"/>
    <w:rsid w:val="00C05B70"/>
    <w:rsid w:val="00C1054F"/>
    <w:rsid w:val="00C10B9E"/>
    <w:rsid w:val="00C11C3C"/>
    <w:rsid w:val="00C12E3A"/>
    <w:rsid w:val="00C1453F"/>
    <w:rsid w:val="00C14C76"/>
    <w:rsid w:val="00C1650C"/>
    <w:rsid w:val="00C2090A"/>
    <w:rsid w:val="00C278C1"/>
    <w:rsid w:val="00C27F71"/>
    <w:rsid w:val="00C30BC4"/>
    <w:rsid w:val="00C310AF"/>
    <w:rsid w:val="00C32047"/>
    <w:rsid w:val="00C332F9"/>
    <w:rsid w:val="00C34666"/>
    <w:rsid w:val="00C34B36"/>
    <w:rsid w:val="00C367AA"/>
    <w:rsid w:val="00C36988"/>
    <w:rsid w:val="00C37B86"/>
    <w:rsid w:val="00C40236"/>
    <w:rsid w:val="00C445AE"/>
    <w:rsid w:val="00C465BB"/>
    <w:rsid w:val="00C47B86"/>
    <w:rsid w:val="00C47B87"/>
    <w:rsid w:val="00C47F3F"/>
    <w:rsid w:val="00C5094E"/>
    <w:rsid w:val="00C56219"/>
    <w:rsid w:val="00C638F5"/>
    <w:rsid w:val="00C640A2"/>
    <w:rsid w:val="00C65E2C"/>
    <w:rsid w:val="00C7049C"/>
    <w:rsid w:val="00C706FA"/>
    <w:rsid w:val="00C7077E"/>
    <w:rsid w:val="00C70C82"/>
    <w:rsid w:val="00C72FC0"/>
    <w:rsid w:val="00C7364A"/>
    <w:rsid w:val="00C74E37"/>
    <w:rsid w:val="00C75CD3"/>
    <w:rsid w:val="00C76952"/>
    <w:rsid w:val="00C76ADD"/>
    <w:rsid w:val="00C77B43"/>
    <w:rsid w:val="00C8004A"/>
    <w:rsid w:val="00C81BBF"/>
    <w:rsid w:val="00C82D32"/>
    <w:rsid w:val="00C84F5E"/>
    <w:rsid w:val="00C86AA0"/>
    <w:rsid w:val="00C92D30"/>
    <w:rsid w:val="00C934AE"/>
    <w:rsid w:val="00C93626"/>
    <w:rsid w:val="00C94B7E"/>
    <w:rsid w:val="00C95D26"/>
    <w:rsid w:val="00C9723B"/>
    <w:rsid w:val="00CA17A6"/>
    <w:rsid w:val="00CA22F4"/>
    <w:rsid w:val="00CB079B"/>
    <w:rsid w:val="00CB1C03"/>
    <w:rsid w:val="00CB2929"/>
    <w:rsid w:val="00CB34A6"/>
    <w:rsid w:val="00CB402F"/>
    <w:rsid w:val="00CB4DCA"/>
    <w:rsid w:val="00CB61BB"/>
    <w:rsid w:val="00CB70F9"/>
    <w:rsid w:val="00CC0149"/>
    <w:rsid w:val="00CC199F"/>
    <w:rsid w:val="00CC7D8C"/>
    <w:rsid w:val="00CD229A"/>
    <w:rsid w:val="00CD2F1E"/>
    <w:rsid w:val="00CD3F46"/>
    <w:rsid w:val="00CD460F"/>
    <w:rsid w:val="00CD70BB"/>
    <w:rsid w:val="00CD71A4"/>
    <w:rsid w:val="00CD789F"/>
    <w:rsid w:val="00CE04FA"/>
    <w:rsid w:val="00CE0AA1"/>
    <w:rsid w:val="00CE0D32"/>
    <w:rsid w:val="00CE261B"/>
    <w:rsid w:val="00CE2933"/>
    <w:rsid w:val="00CE3F84"/>
    <w:rsid w:val="00CE470F"/>
    <w:rsid w:val="00CE5FD8"/>
    <w:rsid w:val="00CE7E87"/>
    <w:rsid w:val="00CF0778"/>
    <w:rsid w:val="00CF2056"/>
    <w:rsid w:val="00CF2656"/>
    <w:rsid w:val="00CF3963"/>
    <w:rsid w:val="00CF4C76"/>
    <w:rsid w:val="00CF558E"/>
    <w:rsid w:val="00CF5EFE"/>
    <w:rsid w:val="00CF6B1C"/>
    <w:rsid w:val="00CF753C"/>
    <w:rsid w:val="00D01B06"/>
    <w:rsid w:val="00D020BE"/>
    <w:rsid w:val="00D035A4"/>
    <w:rsid w:val="00D056C0"/>
    <w:rsid w:val="00D07D0C"/>
    <w:rsid w:val="00D10AEF"/>
    <w:rsid w:val="00D1112F"/>
    <w:rsid w:val="00D119EF"/>
    <w:rsid w:val="00D12D62"/>
    <w:rsid w:val="00D15767"/>
    <w:rsid w:val="00D22254"/>
    <w:rsid w:val="00D2326B"/>
    <w:rsid w:val="00D23AFE"/>
    <w:rsid w:val="00D25BD6"/>
    <w:rsid w:val="00D27F4C"/>
    <w:rsid w:val="00D306AF"/>
    <w:rsid w:val="00D30C3F"/>
    <w:rsid w:val="00D3250A"/>
    <w:rsid w:val="00D3396B"/>
    <w:rsid w:val="00D33AEC"/>
    <w:rsid w:val="00D34A8F"/>
    <w:rsid w:val="00D34C69"/>
    <w:rsid w:val="00D35000"/>
    <w:rsid w:val="00D35761"/>
    <w:rsid w:val="00D40C04"/>
    <w:rsid w:val="00D41EF5"/>
    <w:rsid w:val="00D43958"/>
    <w:rsid w:val="00D44835"/>
    <w:rsid w:val="00D54AAD"/>
    <w:rsid w:val="00D55D8D"/>
    <w:rsid w:val="00D57ED3"/>
    <w:rsid w:val="00D71BFC"/>
    <w:rsid w:val="00D772EC"/>
    <w:rsid w:val="00D862FF"/>
    <w:rsid w:val="00D86751"/>
    <w:rsid w:val="00D874DD"/>
    <w:rsid w:val="00D90699"/>
    <w:rsid w:val="00D90F56"/>
    <w:rsid w:val="00D97D5A"/>
    <w:rsid w:val="00DA0FC4"/>
    <w:rsid w:val="00DA4587"/>
    <w:rsid w:val="00DA6383"/>
    <w:rsid w:val="00DA6880"/>
    <w:rsid w:val="00DA7A7E"/>
    <w:rsid w:val="00DB1C08"/>
    <w:rsid w:val="00DB229C"/>
    <w:rsid w:val="00DB22CB"/>
    <w:rsid w:val="00DB234D"/>
    <w:rsid w:val="00DB401C"/>
    <w:rsid w:val="00DB4218"/>
    <w:rsid w:val="00DB516D"/>
    <w:rsid w:val="00DB51B7"/>
    <w:rsid w:val="00DB6F1F"/>
    <w:rsid w:val="00DB786F"/>
    <w:rsid w:val="00DB7F5C"/>
    <w:rsid w:val="00DC066C"/>
    <w:rsid w:val="00DC22F1"/>
    <w:rsid w:val="00DC2CF8"/>
    <w:rsid w:val="00DD0342"/>
    <w:rsid w:val="00DD2A91"/>
    <w:rsid w:val="00DD5F6A"/>
    <w:rsid w:val="00DE0E23"/>
    <w:rsid w:val="00DE0E77"/>
    <w:rsid w:val="00DE1C4F"/>
    <w:rsid w:val="00DE2622"/>
    <w:rsid w:val="00DE2C37"/>
    <w:rsid w:val="00DE393A"/>
    <w:rsid w:val="00DE4658"/>
    <w:rsid w:val="00DE56A3"/>
    <w:rsid w:val="00DF0C45"/>
    <w:rsid w:val="00DF1F21"/>
    <w:rsid w:val="00DF2A38"/>
    <w:rsid w:val="00DF3082"/>
    <w:rsid w:val="00DF3AAE"/>
    <w:rsid w:val="00DF3F7F"/>
    <w:rsid w:val="00DF4A7F"/>
    <w:rsid w:val="00DF5568"/>
    <w:rsid w:val="00DF660D"/>
    <w:rsid w:val="00DF6E7B"/>
    <w:rsid w:val="00E004FC"/>
    <w:rsid w:val="00E01FF7"/>
    <w:rsid w:val="00E05CA9"/>
    <w:rsid w:val="00E07AC2"/>
    <w:rsid w:val="00E102DD"/>
    <w:rsid w:val="00E10331"/>
    <w:rsid w:val="00E10C24"/>
    <w:rsid w:val="00E10D03"/>
    <w:rsid w:val="00E13711"/>
    <w:rsid w:val="00E15F65"/>
    <w:rsid w:val="00E22D5E"/>
    <w:rsid w:val="00E247C6"/>
    <w:rsid w:val="00E248F3"/>
    <w:rsid w:val="00E24B4B"/>
    <w:rsid w:val="00E2567A"/>
    <w:rsid w:val="00E258D8"/>
    <w:rsid w:val="00E26D2C"/>
    <w:rsid w:val="00E27DF7"/>
    <w:rsid w:val="00E301CC"/>
    <w:rsid w:val="00E30461"/>
    <w:rsid w:val="00E30473"/>
    <w:rsid w:val="00E33838"/>
    <w:rsid w:val="00E33D09"/>
    <w:rsid w:val="00E36163"/>
    <w:rsid w:val="00E418D4"/>
    <w:rsid w:val="00E5032D"/>
    <w:rsid w:val="00E51846"/>
    <w:rsid w:val="00E54DAE"/>
    <w:rsid w:val="00E553F1"/>
    <w:rsid w:val="00E5556A"/>
    <w:rsid w:val="00E57A19"/>
    <w:rsid w:val="00E61A5E"/>
    <w:rsid w:val="00E628DD"/>
    <w:rsid w:val="00E64727"/>
    <w:rsid w:val="00E6685D"/>
    <w:rsid w:val="00E67B26"/>
    <w:rsid w:val="00E70E7A"/>
    <w:rsid w:val="00E763CF"/>
    <w:rsid w:val="00E76A55"/>
    <w:rsid w:val="00E80234"/>
    <w:rsid w:val="00E8109F"/>
    <w:rsid w:val="00E811A0"/>
    <w:rsid w:val="00E8366E"/>
    <w:rsid w:val="00E836B4"/>
    <w:rsid w:val="00E84CB5"/>
    <w:rsid w:val="00E854BB"/>
    <w:rsid w:val="00E86734"/>
    <w:rsid w:val="00E932A1"/>
    <w:rsid w:val="00E93583"/>
    <w:rsid w:val="00E943CC"/>
    <w:rsid w:val="00E94E71"/>
    <w:rsid w:val="00E94F44"/>
    <w:rsid w:val="00E95746"/>
    <w:rsid w:val="00E960BB"/>
    <w:rsid w:val="00EA1C84"/>
    <w:rsid w:val="00EA2FBD"/>
    <w:rsid w:val="00EA3551"/>
    <w:rsid w:val="00EA3A0D"/>
    <w:rsid w:val="00EA468B"/>
    <w:rsid w:val="00EA58F1"/>
    <w:rsid w:val="00EA6FD2"/>
    <w:rsid w:val="00EA7097"/>
    <w:rsid w:val="00EB55AD"/>
    <w:rsid w:val="00EB5762"/>
    <w:rsid w:val="00EB61CC"/>
    <w:rsid w:val="00EB6F48"/>
    <w:rsid w:val="00EB7769"/>
    <w:rsid w:val="00EC10C5"/>
    <w:rsid w:val="00EC1513"/>
    <w:rsid w:val="00EC485D"/>
    <w:rsid w:val="00EC54C1"/>
    <w:rsid w:val="00EC57BA"/>
    <w:rsid w:val="00EC66E1"/>
    <w:rsid w:val="00EC69C7"/>
    <w:rsid w:val="00EC7776"/>
    <w:rsid w:val="00ED31A4"/>
    <w:rsid w:val="00ED5EE0"/>
    <w:rsid w:val="00ED5F33"/>
    <w:rsid w:val="00EE0AC6"/>
    <w:rsid w:val="00EE11D3"/>
    <w:rsid w:val="00EE5C06"/>
    <w:rsid w:val="00EE6C78"/>
    <w:rsid w:val="00EF0CD7"/>
    <w:rsid w:val="00EF1242"/>
    <w:rsid w:val="00EF3763"/>
    <w:rsid w:val="00EF5E2C"/>
    <w:rsid w:val="00EF6060"/>
    <w:rsid w:val="00EF75C4"/>
    <w:rsid w:val="00EF796D"/>
    <w:rsid w:val="00F00430"/>
    <w:rsid w:val="00F014E5"/>
    <w:rsid w:val="00F034F0"/>
    <w:rsid w:val="00F07986"/>
    <w:rsid w:val="00F07DD4"/>
    <w:rsid w:val="00F121CC"/>
    <w:rsid w:val="00F14D26"/>
    <w:rsid w:val="00F16CFC"/>
    <w:rsid w:val="00F2069C"/>
    <w:rsid w:val="00F2259C"/>
    <w:rsid w:val="00F22FFF"/>
    <w:rsid w:val="00F2423E"/>
    <w:rsid w:val="00F26522"/>
    <w:rsid w:val="00F27649"/>
    <w:rsid w:val="00F31123"/>
    <w:rsid w:val="00F32E12"/>
    <w:rsid w:val="00F33517"/>
    <w:rsid w:val="00F33957"/>
    <w:rsid w:val="00F341F1"/>
    <w:rsid w:val="00F355B9"/>
    <w:rsid w:val="00F36A21"/>
    <w:rsid w:val="00F44A96"/>
    <w:rsid w:val="00F465CF"/>
    <w:rsid w:val="00F46A2E"/>
    <w:rsid w:val="00F47723"/>
    <w:rsid w:val="00F527BB"/>
    <w:rsid w:val="00F5308D"/>
    <w:rsid w:val="00F57355"/>
    <w:rsid w:val="00F6031D"/>
    <w:rsid w:val="00F617AD"/>
    <w:rsid w:val="00F63381"/>
    <w:rsid w:val="00F65D73"/>
    <w:rsid w:val="00F67AB4"/>
    <w:rsid w:val="00F71811"/>
    <w:rsid w:val="00F71D7A"/>
    <w:rsid w:val="00F75981"/>
    <w:rsid w:val="00F77DE3"/>
    <w:rsid w:val="00F804DE"/>
    <w:rsid w:val="00F81227"/>
    <w:rsid w:val="00F813DB"/>
    <w:rsid w:val="00F85F41"/>
    <w:rsid w:val="00F8799E"/>
    <w:rsid w:val="00F879EF"/>
    <w:rsid w:val="00F90A8D"/>
    <w:rsid w:val="00F938A7"/>
    <w:rsid w:val="00F93FBE"/>
    <w:rsid w:val="00F9501F"/>
    <w:rsid w:val="00FA2D7F"/>
    <w:rsid w:val="00FA40A9"/>
    <w:rsid w:val="00FA5177"/>
    <w:rsid w:val="00FA552B"/>
    <w:rsid w:val="00FA6080"/>
    <w:rsid w:val="00FA67C0"/>
    <w:rsid w:val="00FA6F4F"/>
    <w:rsid w:val="00FA716E"/>
    <w:rsid w:val="00FB03CD"/>
    <w:rsid w:val="00FB38B9"/>
    <w:rsid w:val="00FB4FC7"/>
    <w:rsid w:val="00FB5B1D"/>
    <w:rsid w:val="00FB70B2"/>
    <w:rsid w:val="00FC34A2"/>
    <w:rsid w:val="00FC35B7"/>
    <w:rsid w:val="00FC7FED"/>
    <w:rsid w:val="00FD047E"/>
    <w:rsid w:val="00FD4CCA"/>
    <w:rsid w:val="00FD50DA"/>
    <w:rsid w:val="00FD6052"/>
    <w:rsid w:val="00FE12EC"/>
    <w:rsid w:val="00FE18A1"/>
    <w:rsid w:val="00FE6D29"/>
    <w:rsid w:val="00FE7164"/>
    <w:rsid w:val="00FF1538"/>
    <w:rsid w:val="00FF4099"/>
    <w:rsid w:val="00FF4260"/>
    <w:rsid w:val="00FF42A7"/>
    <w:rsid w:val="00FF566C"/>
    <w:rsid w:val="00FF6355"/>
    <w:rsid w:val="00FF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F139CB"/>
  <w15:docId w15:val="{CAFB566F-B340-4AB5-A433-C648EA8B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589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3D09"/>
    <w:rPr>
      <w:color w:val="0000FF"/>
      <w:u w:val="single"/>
    </w:rPr>
  </w:style>
  <w:style w:type="paragraph" w:styleId="Header">
    <w:name w:val="header"/>
    <w:basedOn w:val="Normal"/>
    <w:link w:val="HeaderChar"/>
    <w:uiPriority w:val="99"/>
    <w:rsid w:val="003E1321"/>
    <w:pPr>
      <w:tabs>
        <w:tab w:val="center" w:pos="4320"/>
        <w:tab w:val="right" w:pos="8640"/>
      </w:tabs>
    </w:pPr>
  </w:style>
  <w:style w:type="paragraph" w:styleId="Footer">
    <w:name w:val="footer"/>
    <w:basedOn w:val="Normal"/>
    <w:link w:val="FooterChar"/>
    <w:uiPriority w:val="99"/>
    <w:rsid w:val="003E1321"/>
    <w:pPr>
      <w:tabs>
        <w:tab w:val="center" w:pos="4320"/>
        <w:tab w:val="right" w:pos="8640"/>
      </w:tabs>
    </w:pPr>
  </w:style>
  <w:style w:type="character" w:styleId="CommentReference">
    <w:name w:val="annotation reference"/>
    <w:basedOn w:val="DefaultParagraphFont"/>
    <w:semiHidden/>
    <w:rsid w:val="00B324B6"/>
    <w:rPr>
      <w:sz w:val="16"/>
      <w:szCs w:val="16"/>
    </w:rPr>
  </w:style>
  <w:style w:type="paragraph" w:styleId="CommentText">
    <w:name w:val="annotation text"/>
    <w:basedOn w:val="Normal"/>
    <w:semiHidden/>
    <w:rsid w:val="00B324B6"/>
    <w:rPr>
      <w:sz w:val="20"/>
      <w:szCs w:val="20"/>
    </w:rPr>
  </w:style>
  <w:style w:type="paragraph" w:styleId="CommentSubject">
    <w:name w:val="annotation subject"/>
    <w:basedOn w:val="CommentText"/>
    <w:next w:val="CommentText"/>
    <w:link w:val="CommentSubjectChar"/>
    <w:uiPriority w:val="99"/>
    <w:semiHidden/>
    <w:rsid w:val="00B324B6"/>
    <w:rPr>
      <w:b/>
      <w:bCs/>
    </w:rPr>
  </w:style>
  <w:style w:type="paragraph" w:styleId="BalloonText">
    <w:name w:val="Balloon Text"/>
    <w:basedOn w:val="Normal"/>
    <w:semiHidden/>
    <w:rsid w:val="00B324B6"/>
    <w:rPr>
      <w:rFonts w:ascii="Tahoma" w:hAnsi="Tahoma" w:cs="Tahoma"/>
      <w:sz w:val="16"/>
      <w:szCs w:val="16"/>
    </w:rPr>
  </w:style>
  <w:style w:type="character" w:styleId="FollowedHyperlink">
    <w:name w:val="FollowedHyperlink"/>
    <w:basedOn w:val="DefaultParagraphFont"/>
    <w:rsid w:val="004423FA"/>
    <w:rPr>
      <w:color w:val="800080"/>
      <w:u w:val="single"/>
    </w:rPr>
  </w:style>
  <w:style w:type="character" w:styleId="PageNumber">
    <w:name w:val="page number"/>
    <w:basedOn w:val="DefaultParagraphFont"/>
    <w:rsid w:val="00AC0BC8"/>
  </w:style>
  <w:style w:type="paragraph" w:customStyle="1" w:styleId="Default">
    <w:name w:val="Default"/>
    <w:rsid w:val="00FA67C0"/>
    <w:pPr>
      <w:autoSpaceDE w:val="0"/>
      <w:autoSpaceDN w:val="0"/>
      <w:adjustRightInd w:val="0"/>
    </w:pPr>
    <w:rPr>
      <w:rFonts w:ascii="Arial" w:eastAsiaTheme="minorHAnsi" w:hAnsi="Arial" w:cs="Arial"/>
      <w:color w:val="000000"/>
      <w:sz w:val="24"/>
      <w:szCs w:val="24"/>
    </w:rPr>
  </w:style>
  <w:style w:type="paragraph" w:customStyle="1" w:styleId="Style2">
    <w:name w:val="Style2"/>
    <w:basedOn w:val="Normal"/>
    <w:autoRedefine/>
    <w:rsid w:val="008568BA"/>
    <w:pPr>
      <w:jc w:val="center"/>
    </w:pPr>
    <w:rPr>
      <w:szCs w:val="22"/>
    </w:rPr>
  </w:style>
  <w:style w:type="character" w:customStyle="1" w:styleId="CommentSubjectChar">
    <w:name w:val="Comment Subject Char"/>
    <w:basedOn w:val="DefaultParagraphFont"/>
    <w:link w:val="CommentSubject"/>
    <w:uiPriority w:val="99"/>
    <w:semiHidden/>
    <w:rsid w:val="00547740"/>
    <w:rPr>
      <w:rFonts w:ascii="Arial" w:hAnsi="Arial"/>
      <w:b/>
      <w:bCs/>
    </w:rPr>
  </w:style>
  <w:style w:type="table" w:styleId="TableElegant">
    <w:name w:val="Table Elegant"/>
    <w:basedOn w:val="TableNormal"/>
    <w:rsid w:val="002F4874"/>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basedOn w:val="Normal"/>
    <w:semiHidden/>
    <w:rsid w:val="00A67195"/>
    <w:rPr>
      <w:sz w:val="20"/>
      <w:szCs w:val="20"/>
    </w:rPr>
  </w:style>
  <w:style w:type="character" w:styleId="FootnoteReference">
    <w:name w:val="footnote reference"/>
    <w:basedOn w:val="DefaultParagraphFont"/>
    <w:semiHidden/>
    <w:rsid w:val="00A67195"/>
    <w:rPr>
      <w:vertAlign w:val="superscript"/>
    </w:rPr>
  </w:style>
  <w:style w:type="paragraph" w:customStyle="1" w:styleId="Level1">
    <w:name w:val="Level 1"/>
    <w:basedOn w:val="Normal"/>
    <w:rsid w:val="007A672A"/>
    <w:pPr>
      <w:widowControl w:val="0"/>
      <w:numPr>
        <w:numId w:val="1"/>
      </w:numPr>
      <w:autoSpaceDE w:val="0"/>
      <w:autoSpaceDN w:val="0"/>
      <w:adjustRightInd w:val="0"/>
      <w:ind w:left="835" w:hanging="591"/>
      <w:outlineLvl w:val="0"/>
    </w:pPr>
    <w:rPr>
      <w:rFonts w:ascii="Times New Roman" w:hAnsi="Times New Roman"/>
    </w:rPr>
  </w:style>
  <w:style w:type="paragraph" w:styleId="ListParagraph">
    <w:name w:val="List Paragraph"/>
    <w:basedOn w:val="Normal"/>
    <w:uiPriority w:val="34"/>
    <w:qFormat/>
    <w:rsid w:val="00C7364A"/>
    <w:pPr>
      <w:ind w:left="720"/>
      <w:contextualSpacing/>
    </w:pPr>
  </w:style>
  <w:style w:type="character" w:customStyle="1" w:styleId="outputtext">
    <w:name w:val="outputtext"/>
    <w:basedOn w:val="DefaultParagraphFont"/>
    <w:rsid w:val="0008160B"/>
  </w:style>
  <w:style w:type="character" w:customStyle="1" w:styleId="FooterChar">
    <w:name w:val="Footer Char"/>
    <w:basedOn w:val="DefaultParagraphFont"/>
    <w:link w:val="Footer"/>
    <w:uiPriority w:val="99"/>
    <w:rsid w:val="00170ECA"/>
    <w:rPr>
      <w:rFonts w:ascii="Arial" w:hAnsi="Arial"/>
      <w:sz w:val="22"/>
      <w:szCs w:val="24"/>
    </w:rPr>
  </w:style>
  <w:style w:type="paragraph" w:styleId="Caption">
    <w:name w:val="caption"/>
    <w:basedOn w:val="Normal"/>
    <w:next w:val="Normal"/>
    <w:uiPriority w:val="35"/>
    <w:unhideWhenUsed/>
    <w:qFormat/>
    <w:rsid w:val="002578FE"/>
    <w:pPr>
      <w:spacing w:after="200"/>
    </w:pPr>
    <w:rPr>
      <w:rFonts w:eastAsiaTheme="minorHAnsi" w:cs="Arial"/>
      <w:i/>
      <w:iCs/>
      <w:color w:val="1F497D" w:themeColor="text2"/>
      <w:sz w:val="18"/>
      <w:szCs w:val="18"/>
    </w:rPr>
  </w:style>
  <w:style w:type="character" w:customStyle="1" w:styleId="HeaderChar">
    <w:name w:val="Header Char"/>
    <w:basedOn w:val="DefaultParagraphFont"/>
    <w:link w:val="Header"/>
    <w:uiPriority w:val="99"/>
    <w:rsid w:val="008D1927"/>
    <w:rPr>
      <w:rFonts w:ascii="Arial" w:hAnsi="Arial"/>
      <w:sz w:val="22"/>
      <w:szCs w:val="24"/>
    </w:rPr>
  </w:style>
  <w:style w:type="paragraph" w:styleId="Revision">
    <w:name w:val="Revision"/>
    <w:hidden/>
    <w:uiPriority w:val="99"/>
    <w:semiHidden/>
    <w:rsid w:val="00EF3763"/>
    <w:rPr>
      <w:rFonts w:ascii="Arial" w:hAnsi="Arial"/>
      <w:sz w:val="22"/>
      <w:szCs w:val="24"/>
    </w:rPr>
  </w:style>
  <w:style w:type="character" w:styleId="UnresolvedMention">
    <w:name w:val="Unresolved Mention"/>
    <w:basedOn w:val="DefaultParagraphFont"/>
    <w:uiPriority w:val="99"/>
    <w:semiHidden/>
    <w:unhideWhenUsed/>
    <w:rsid w:val="00CC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7328">
      <w:bodyDiv w:val="1"/>
      <w:marLeft w:val="0"/>
      <w:marRight w:val="0"/>
      <w:marTop w:val="0"/>
      <w:marBottom w:val="0"/>
      <w:divBdr>
        <w:top w:val="none" w:sz="0" w:space="0" w:color="auto"/>
        <w:left w:val="none" w:sz="0" w:space="0" w:color="auto"/>
        <w:bottom w:val="none" w:sz="0" w:space="0" w:color="auto"/>
        <w:right w:val="none" w:sz="0" w:space="0" w:color="auto"/>
      </w:divBdr>
    </w:div>
    <w:div w:id="1215119829">
      <w:bodyDiv w:val="1"/>
      <w:marLeft w:val="0"/>
      <w:marRight w:val="0"/>
      <w:marTop w:val="0"/>
      <w:marBottom w:val="0"/>
      <w:divBdr>
        <w:top w:val="none" w:sz="0" w:space="0" w:color="auto"/>
        <w:left w:val="none" w:sz="0" w:space="0" w:color="auto"/>
        <w:bottom w:val="none" w:sz="0" w:space="0" w:color="auto"/>
        <w:right w:val="none" w:sz="0" w:space="0" w:color="auto"/>
      </w:divBdr>
    </w:div>
    <w:div w:id="1453590312">
      <w:bodyDiv w:val="1"/>
      <w:marLeft w:val="0"/>
      <w:marRight w:val="0"/>
      <w:marTop w:val="0"/>
      <w:marBottom w:val="0"/>
      <w:divBdr>
        <w:top w:val="none" w:sz="0" w:space="0" w:color="auto"/>
        <w:left w:val="none" w:sz="0" w:space="0" w:color="auto"/>
        <w:bottom w:val="none" w:sz="0" w:space="0" w:color="auto"/>
        <w:right w:val="none" w:sz="0" w:space="0" w:color="auto"/>
      </w:divBdr>
    </w:div>
    <w:div w:id="14990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rc.gov/docs/ML1634/ML16344A092.pdf" TargetMode="External"/><Relationship Id="rId18" Type="http://schemas.openxmlformats.org/officeDocument/2006/relationships/hyperlink" Target="https://www.nrc.gov/reading-rm/doc-collections/gen-comm/gen-letters/1989/gl89002.html" TargetMode="External"/><Relationship Id="rId26" Type="http://schemas.openxmlformats.org/officeDocument/2006/relationships/hyperlink" Target="https://www.nrc.gov/docs/ML1414/ML14149A520.pdf" TargetMode="External"/><Relationship Id="rId39" Type="http://schemas.openxmlformats.org/officeDocument/2006/relationships/hyperlink" Target="mailto:Rebecca.Sigmon@nrc.gov" TargetMode="External"/><Relationship Id="rId21" Type="http://schemas.openxmlformats.org/officeDocument/2006/relationships/hyperlink" Target="https://www.nrc.gov/docs/ML1607/ML16075A285.pdf" TargetMode="External"/><Relationship Id="rId34" Type="http://schemas.openxmlformats.org/officeDocument/2006/relationships/hyperlink" Target="https://www.nrc.gov/docs/ML1601/ML16013A021.pdf"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rc.gov/docs/ML1634/ML16340B000.pdf" TargetMode="External"/><Relationship Id="rId29" Type="http://schemas.openxmlformats.org/officeDocument/2006/relationships/hyperlink" Target="https://www.nrc.gov/reading-rm/doc-collections/gen-comm/info-notices/1992/in920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reading-rm/doc-collections/cfr/part021/full-text.html" TargetMode="External"/><Relationship Id="rId24" Type="http://schemas.openxmlformats.org/officeDocument/2006/relationships/hyperlink" Target="https://www.nrc.gov/reading-rm/doc-collections/gen-comm/info-notices/1996/in96040.html" TargetMode="External"/><Relationship Id="rId32" Type="http://schemas.openxmlformats.org/officeDocument/2006/relationships/hyperlink" Target="https://www.nrc.gov/docs/ML1735/ML17354A690.pdf" TargetMode="External"/><Relationship Id="rId37" Type="http://schemas.openxmlformats.org/officeDocument/2006/relationships/hyperlink" Target="mailto:Aaron.Armstrong@nrc.gov" TargetMode="External"/><Relationship Id="rId40"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nrc.gov/docs/ML1817/ML18176A157.pdf" TargetMode="External"/><Relationship Id="rId23" Type="http://schemas.openxmlformats.org/officeDocument/2006/relationships/hyperlink" Target="https://www.nrc.gov/docs/ML1032/ML103220180.pdf" TargetMode="External"/><Relationship Id="rId28" Type="http://schemas.openxmlformats.org/officeDocument/2006/relationships/hyperlink" Target="https://www.nrc.gov/reading-rm/doc-collections/gen-comm/info-notices/1987/in87066.html" TargetMode="External"/><Relationship Id="rId36" Type="http://schemas.openxmlformats.org/officeDocument/2006/relationships/hyperlink" Target="https://www.nrc.gov/docs/ML1717/ML17179A461.pdf" TargetMode="External"/><Relationship Id="rId10" Type="http://schemas.openxmlformats.org/officeDocument/2006/relationships/hyperlink" Target="https://adamsxt.nrc.gov/AdamsXT/content/downloadContent.faces?objectStoreName=MainLibrary&amp;vsId=%7bB2956C5A-8257-4A85-BF92-8D3E17E4465B%7d&amp;ForceBrowserDownloadMgrPrompt=false" TargetMode="External"/><Relationship Id="rId19" Type="http://schemas.openxmlformats.org/officeDocument/2006/relationships/hyperlink" Target="https://www.nrc.gov/reading-rm/doc-collections/gen-comm/gen-letters/1991/gl91005.html" TargetMode="External"/><Relationship Id="rId31" Type="http://schemas.openxmlformats.org/officeDocument/2006/relationships/hyperlink" Target="https://www.nrc.gov/docs/ML1722/ML17226A321.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amsxt.nrc.gov/AdamsXT/content/downloadContent.faces?objectStoreName=MainLibrary&amp;vsId=%7b870B00C2-0EC7-4118-84B2-2245B5C3FC24%7d&amp;ForceBrowserDownloadMgrPrompt=false" TargetMode="External"/><Relationship Id="rId14" Type="http://schemas.openxmlformats.org/officeDocument/2006/relationships/hyperlink" Target="https://www.nrc.gov/docs/ML1502/ML15023A102.pdf" TargetMode="External"/><Relationship Id="rId22" Type="http://schemas.openxmlformats.org/officeDocument/2006/relationships/hyperlink" Target="https://www.nrc.gov/docs/ML1731/ML17311A081.pdf" TargetMode="External"/><Relationship Id="rId27" Type="http://schemas.openxmlformats.org/officeDocument/2006/relationships/hyperlink" Target="https://www.nrc.gov/reading-rm/doc-collections/gen-comm/info-notices/1991/in91025.html" TargetMode="External"/><Relationship Id="rId30" Type="http://schemas.openxmlformats.org/officeDocument/2006/relationships/hyperlink" Target="https://www.nrc.gov/reading-rm/doc-collections/gen-comm/info-notices/1992/in92068s1.html" TargetMode="External"/><Relationship Id="rId35" Type="http://schemas.openxmlformats.org/officeDocument/2006/relationships/hyperlink" Target="https://www.nrc.gov/docs/ML1604/ML16047A268.pdf" TargetMode="External"/><Relationship Id="rId43" Type="http://schemas.openxmlformats.org/officeDocument/2006/relationships/fontTable" Target="fontTable.xml"/><Relationship Id="rId8" Type="http://schemas.openxmlformats.org/officeDocument/2006/relationships/hyperlink" Target="https://adamsxt.nrc.gov/AdamsXT/content/downloadContent.faces?objectStoreName=MainLibrary&amp;vsId=%7b73EED1AD-59D5-4837-8DF6-E8FDB72B24BC%7d&amp;ForceBrowserDownloadMgrPrompt=false" TargetMode="External"/><Relationship Id="rId3" Type="http://schemas.openxmlformats.org/officeDocument/2006/relationships/styles" Target="styles.xml"/><Relationship Id="rId12" Type="http://schemas.openxmlformats.org/officeDocument/2006/relationships/hyperlink" Target="https://www.nrc.gov/reading-rm/doc-collections/cfr/part050/part050-appb.html" TargetMode="External"/><Relationship Id="rId17" Type="http://schemas.openxmlformats.org/officeDocument/2006/relationships/hyperlink" Target="https://www.nrc.gov/docs/ML1903/ML19036A556.pdf" TargetMode="External"/><Relationship Id="rId25" Type="http://schemas.openxmlformats.org/officeDocument/2006/relationships/hyperlink" Target="https://www.nrc.gov/reading-rm/doc-collections/gen-comm/info-notices/1996/in96040s1.html" TargetMode="External"/><Relationship Id="rId33" Type="http://schemas.openxmlformats.org/officeDocument/2006/relationships/hyperlink" Target="https://www.nrc.gov/docs/ML1521/ML15210A725.pdf" TargetMode="External"/><Relationship Id="rId38" Type="http://schemas.openxmlformats.org/officeDocument/2006/relationships/hyperlink" Target="mailto:Alfred.Issa@nrc.gov" TargetMode="External"/><Relationship Id="rId46" Type="http://schemas.openxmlformats.org/officeDocument/2006/relationships/customXml" Target="../customXml/item3.xml"/><Relationship Id="rId20" Type="http://schemas.openxmlformats.org/officeDocument/2006/relationships/hyperlink" Target="https://www.nrc.gov/docs/ML1529/ML15295A173.pdf"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6C2BD-545E-4208-B8E5-43B5C22D21FF}">
  <ds:schemaRefs>
    <ds:schemaRef ds:uri="http://schemas.openxmlformats.org/officeDocument/2006/bibliography"/>
  </ds:schemaRefs>
</ds:datastoreItem>
</file>

<file path=customXml/itemProps2.xml><?xml version="1.0" encoding="utf-8"?>
<ds:datastoreItem xmlns:ds="http://schemas.openxmlformats.org/officeDocument/2006/customXml" ds:itemID="{AEC43AE9-AD77-498F-A610-D89CAF373406}"/>
</file>

<file path=customXml/itemProps3.xml><?xml version="1.0" encoding="utf-8"?>
<ds:datastoreItem xmlns:ds="http://schemas.openxmlformats.org/officeDocument/2006/customXml" ds:itemID="{DE2F020B-5623-46BE-9218-FD3E460ECC99}"/>
</file>

<file path=docProps/app.xml><?xml version="1.0" encoding="utf-8"?>
<Properties xmlns="http://schemas.openxmlformats.org/officeDocument/2006/extended-properties" xmlns:vt="http://schemas.openxmlformats.org/officeDocument/2006/docPropsVTypes">
  <Template>Normal.dotm</Template>
  <TotalTime>18</TotalTime>
  <Pages>9</Pages>
  <Words>2797</Words>
  <Characters>19885</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Question 1: Does the continuous rating of the emergency diesel generators (EDGs) bound the design post accident load profiles for the EDGs</vt:lpstr>
    </vt:vector>
  </TitlesOfParts>
  <Company>USNRC</Company>
  <LinksUpToDate>false</LinksUpToDate>
  <CharactersWithSpaces>22637</CharactersWithSpaces>
  <SharedDoc>false</SharedDoc>
  <HLinks>
    <vt:vector size="48" baseType="variant">
      <vt:variant>
        <vt:i4>4456573</vt:i4>
      </vt:variant>
      <vt:variant>
        <vt:i4>21</vt:i4>
      </vt:variant>
      <vt:variant>
        <vt:i4>0</vt:i4>
      </vt:variant>
      <vt:variant>
        <vt:i4>5</vt:i4>
      </vt:variant>
      <vt:variant>
        <vt:lpwstr>http://adamswebsearch2.nrc.gov/idmws/doccontent.dll?library=PU_ADAMS%5ePBNTAD01&amp;ID=091420087</vt:lpwstr>
      </vt:variant>
      <vt:variant>
        <vt:lpwstr/>
      </vt:variant>
      <vt:variant>
        <vt:i4>4391024</vt:i4>
      </vt:variant>
      <vt:variant>
        <vt:i4>18</vt:i4>
      </vt:variant>
      <vt:variant>
        <vt:i4>0</vt:i4>
      </vt:variant>
      <vt:variant>
        <vt:i4>5</vt:i4>
      </vt:variant>
      <vt:variant>
        <vt:lpwstr>http://adamswebsearch2.nrc.gov/idmws/doccontent.dll?library=PU_ADAMS%5ePBNTAD01&amp;ID=071840076</vt:lpwstr>
      </vt:variant>
      <vt:variant>
        <vt:lpwstr/>
      </vt:variant>
      <vt:variant>
        <vt:i4>5111935</vt:i4>
      </vt:variant>
      <vt:variant>
        <vt:i4>15</vt:i4>
      </vt:variant>
      <vt:variant>
        <vt:i4>0</vt:i4>
      </vt:variant>
      <vt:variant>
        <vt:i4>5</vt:i4>
      </vt:variant>
      <vt:variant>
        <vt:lpwstr>http://adamswebsearch2.nrc.gov/idmws/doccontent.dll?library=PU_ADAMS%5ePBNTAD01&amp;ID=091770199</vt:lpwstr>
      </vt:variant>
      <vt:variant>
        <vt:lpwstr/>
      </vt:variant>
      <vt:variant>
        <vt:i4>6029386</vt:i4>
      </vt:variant>
      <vt:variant>
        <vt:i4>12</vt:i4>
      </vt:variant>
      <vt:variant>
        <vt:i4>0</vt:i4>
      </vt:variant>
      <vt:variant>
        <vt:i4>5</vt:i4>
      </vt:variant>
      <vt:variant>
        <vt:lpwstr>http://www.nrc.gov/reading-rm/doc-collections/nuregs/staff/sr1852/sr1852.pdf</vt:lpwstr>
      </vt:variant>
      <vt:variant>
        <vt:lpwstr/>
      </vt:variant>
      <vt:variant>
        <vt:i4>4653177</vt:i4>
      </vt:variant>
      <vt:variant>
        <vt:i4>9</vt:i4>
      </vt:variant>
      <vt:variant>
        <vt:i4>0</vt:i4>
      </vt:variant>
      <vt:variant>
        <vt:i4>5</vt:i4>
      </vt:variant>
      <vt:variant>
        <vt:lpwstr>http://adamswebsearch2.nrc.gov/idmws/doccontent.dll?library=PU_ADAMS%5ePBNTAD01&amp;ID=093000185</vt:lpwstr>
      </vt:variant>
      <vt:variant>
        <vt:lpwstr/>
      </vt:variant>
      <vt:variant>
        <vt:i4>4194338</vt:i4>
      </vt:variant>
      <vt:variant>
        <vt:i4>6</vt:i4>
      </vt:variant>
      <vt:variant>
        <vt:i4>0</vt:i4>
      </vt:variant>
      <vt:variant>
        <vt:i4>5</vt:i4>
      </vt:variant>
      <vt:variant>
        <vt:lpwstr>mailto:Jeremy.Bowen@nrc.gov</vt:lpwstr>
      </vt:variant>
      <vt:variant>
        <vt:lpwstr/>
      </vt:variant>
      <vt:variant>
        <vt:i4>2490450</vt:i4>
      </vt:variant>
      <vt:variant>
        <vt:i4>3</vt:i4>
      </vt:variant>
      <vt:variant>
        <vt:i4>0</vt:i4>
      </vt:variant>
      <vt:variant>
        <vt:i4>5</vt:i4>
      </vt:variant>
      <vt:variant>
        <vt:lpwstr>mailto:Daniel.Frumkin@nrc.gov</vt:lpwstr>
      </vt:variant>
      <vt:variant>
        <vt:lpwstr/>
      </vt:variant>
      <vt:variant>
        <vt:i4>2490450</vt:i4>
      </vt:variant>
      <vt:variant>
        <vt:i4>0</vt:i4>
      </vt:variant>
      <vt:variant>
        <vt:i4>0</vt:i4>
      </vt:variant>
      <vt:variant>
        <vt:i4>5</vt:i4>
      </vt:variant>
      <vt:variant>
        <vt:lpwstr>mailto:Daniel.Frumkin@nrc.gov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 Does the continuous rating of the emergency diesel generators (EDGs) bound the design post accident load profiles for the EDGs</dc:title>
  <dc:subject/>
  <dc:creator>alk1</dc:creator>
  <cp:keywords/>
  <dc:description/>
  <cp:lastModifiedBy>Curran, Bridget</cp:lastModifiedBy>
  <cp:revision>3</cp:revision>
  <cp:lastPrinted>2019-07-30T18:17:00Z</cp:lastPrinted>
  <dcterms:created xsi:type="dcterms:W3CDTF">2019-08-14T15:02:00Z</dcterms:created>
  <dcterms:modified xsi:type="dcterms:W3CDTF">2019-08-14T15:22:00Z</dcterms:modified>
</cp:coreProperties>
</file>